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3F" w:rsidRDefault="003A133F" w:rsidP="008A7D60">
      <w:pPr>
        <w:suppressLineNumbers/>
        <w:spacing w:after="0" w:line="240" w:lineRule="auto"/>
        <w:jc w:val="center"/>
        <w:rPr>
          <w:rFonts w:eastAsia="Calibri"/>
          <w:b/>
          <w:sz w:val="26"/>
          <w:szCs w:val="26"/>
        </w:rPr>
      </w:pPr>
      <w:r w:rsidRPr="00136E4A">
        <w:rPr>
          <w:rFonts w:eastAsia="Calibri"/>
          <w:b/>
          <w:sz w:val="26"/>
          <w:szCs w:val="26"/>
        </w:rPr>
        <w:t>PROPOSED AMENDMENTS TO THE</w:t>
      </w:r>
      <w:r>
        <w:rPr>
          <w:rFonts w:eastAsia="Calibri"/>
          <w:b/>
          <w:sz w:val="26"/>
          <w:szCs w:val="26"/>
        </w:rPr>
        <w:t xml:space="preserve"> FEDERAL</w:t>
      </w:r>
    </w:p>
    <w:p w:rsidR="003A133F" w:rsidRDefault="003A133F" w:rsidP="00021F83">
      <w:pPr>
        <w:suppressLineNumbers/>
        <w:spacing w:after="360" w:line="240" w:lineRule="auto"/>
        <w:jc w:val="center"/>
        <w:rPr>
          <w:rFonts w:eastAsia="Calibri"/>
          <w:b/>
          <w:sz w:val="26"/>
          <w:szCs w:val="26"/>
          <w:vertAlign w:val="superscript"/>
        </w:rPr>
      </w:pPr>
      <w:r w:rsidRPr="00136E4A">
        <w:rPr>
          <w:rFonts w:eastAsia="Calibri"/>
          <w:b/>
          <w:sz w:val="26"/>
          <w:szCs w:val="26"/>
        </w:rPr>
        <w:t>RULES OF BANKRUPTCY</w:t>
      </w:r>
      <w:r>
        <w:rPr>
          <w:rFonts w:eastAsia="Calibri"/>
          <w:b/>
          <w:sz w:val="26"/>
          <w:szCs w:val="26"/>
        </w:rPr>
        <w:t xml:space="preserve"> </w:t>
      </w:r>
      <w:r w:rsidRPr="00136E4A">
        <w:rPr>
          <w:rFonts w:eastAsia="Calibri"/>
          <w:b/>
          <w:sz w:val="26"/>
          <w:szCs w:val="26"/>
        </w:rPr>
        <w:t>PROCEDURE</w:t>
      </w:r>
    </w:p>
    <w:p w:rsidR="003A133F" w:rsidRDefault="003A133F" w:rsidP="00AF0F96">
      <w:pPr>
        <w:tabs>
          <w:tab w:val="left" w:pos="504"/>
          <w:tab w:val="left" w:pos="1008"/>
          <w:tab w:val="left" w:pos="1350"/>
          <w:tab w:val="left" w:pos="2016"/>
          <w:tab w:val="left" w:pos="2520"/>
          <w:tab w:val="left" w:pos="3024"/>
          <w:tab w:val="left" w:pos="3528"/>
          <w:tab w:val="left" w:pos="4032"/>
          <w:tab w:val="left" w:pos="4536"/>
        </w:tabs>
        <w:spacing w:after="240" w:line="240" w:lineRule="auto"/>
        <w:ind w:left="1354" w:hanging="1354"/>
        <w:jc w:val="both"/>
        <w:rPr>
          <w:b/>
          <w:bCs/>
          <w:strike/>
        </w:rPr>
      </w:pPr>
      <w:r w:rsidRPr="00B949F3">
        <w:rPr>
          <w:lang w:val="en-CA"/>
        </w:rPr>
        <w:fldChar w:fldCharType="begin"/>
      </w:r>
      <w:r w:rsidRPr="00B949F3">
        <w:rPr>
          <w:lang w:val="en-CA"/>
        </w:rPr>
        <w:instrText xml:space="preserve"> SEQ CHAPTER \h \r 1</w:instrText>
      </w:r>
      <w:r w:rsidRPr="00B949F3">
        <w:fldChar w:fldCharType="end"/>
      </w:r>
      <w:proofErr w:type="gramStart"/>
      <w:r w:rsidRPr="00B949F3">
        <w:rPr>
          <w:b/>
          <w:bCs/>
        </w:rPr>
        <w:t>Rule 1010.</w:t>
      </w:r>
      <w:proofErr w:type="gramEnd"/>
      <w:r>
        <w:rPr>
          <w:b/>
          <w:bCs/>
        </w:rPr>
        <w:tab/>
      </w:r>
      <w:r w:rsidRPr="00B949F3">
        <w:rPr>
          <w:b/>
          <w:bCs/>
        </w:rPr>
        <w:t>Service of Involuntary Petition and Summons</w:t>
      </w:r>
    </w:p>
    <w:p w:rsidR="003A133F" w:rsidRDefault="003A133F" w:rsidP="00943915">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pPr>
      <w:r w:rsidRPr="007F602B">
        <w:rPr>
          <w:b/>
          <w:bCs/>
        </w:rPr>
        <w:tab/>
      </w:r>
      <w:r w:rsidRPr="007F602B">
        <w:t>(a)</w:t>
      </w:r>
      <w:r>
        <w:tab/>
      </w:r>
      <w:r w:rsidRPr="00D20574">
        <w:rPr>
          <w:caps/>
        </w:rPr>
        <w:t>Service of Involuntary Petition and Summons.</w:t>
      </w:r>
      <w:r w:rsidRPr="007F602B">
        <w:t xml:space="preserve">  On the filing of an involuntary petition, the clerk shall forthwith issue a summons for service.  When an involuntary petition is filed, service shall be made on the debtor.</w:t>
      </w:r>
      <w:r>
        <w:t xml:space="preserve"> </w:t>
      </w:r>
      <w:r w:rsidRPr="007F602B">
        <w:t xml:space="preserve"> The summons shall be served with a copy of the petition in the manner provided for service of a summons and complaint by Rule 7004(a) or (b).  If service cannot be so made, the court may order that the summons and petition be served by mailing copies to the party’s last known address, and by at least one publication in a manner and form directed by the court.  The summons and petition may be served on the party anywhere.  Rule</w:t>
      </w:r>
      <w:r w:rsidR="0081495D">
        <w:t> </w:t>
      </w:r>
      <w:r w:rsidRPr="007F602B">
        <w:t>7004(e) and Rule 4(</w:t>
      </w:r>
      <w:r w:rsidRPr="007F602B">
        <w:rPr>
          <w:i/>
          <w:iCs/>
        </w:rPr>
        <w:t>l</w:t>
      </w:r>
      <w:r w:rsidRPr="007F602B">
        <w:t xml:space="preserve">) </w:t>
      </w:r>
      <w:proofErr w:type="spellStart"/>
      <w:r w:rsidRPr="007F602B">
        <w:t>F.R.Civ.P</w:t>
      </w:r>
      <w:proofErr w:type="spellEnd"/>
      <w:r w:rsidRPr="007F602B">
        <w:t xml:space="preserve">. </w:t>
      </w:r>
      <w:proofErr w:type="gramStart"/>
      <w:r w:rsidRPr="007F602B">
        <w:t>apply</w:t>
      </w:r>
      <w:proofErr w:type="gramEnd"/>
      <w:r w:rsidRPr="007F602B">
        <w:t xml:space="preserve"> when service is made or attempted</w:t>
      </w:r>
      <w:r>
        <w:t> </w:t>
      </w:r>
      <w:r w:rsidRPr="007F602B">
        <w:t>under</w:t>
      </w:r>
      <w:r>
        <w:t> </w:t>
      </w:r>
      <w:r w:rsidRPr="007F602B">
        <w:t>this</w:t>
      </w:r>
      <w:r>
        <w:t> </w:t>
      </w:r>
      <w:r w:rsidRPr="007F602B">
        <w:t>rule.</w:t>
      </w:r>
    </w:p>
    <w:p w:rsidR="003A133F" w:rsidRDefault="003A133F" w:rsidP="00F10627">
      <w:pPr>
        <w:tabs>
          <w:tab w:val="left" w:pos="504"/>
          <w:tab w:val="left" w:pos="1008"/>
          <w:tab w:val="left" w:pos="1512"/>
          <w:tab w:val="left" w:pos="2016"/>
          <w:tab w:val="left" w:pos="2520"/>
          <w:tab w:val="left" w:pos="3024"/>
          <w:tab w:val="left" w:pos="3528"/>
          <w:tab w:val="left" w:pos="4032"/>
          <w:tab w:val="left" w:pos="4536"/>
          <w:tab w:val="left" w:pos="5040"/>
        </w:tabs>
        <w:spacing w:after="240" w:line="240" w:lineRule="auto"/>
        <w:jc w:val="center"/>
        <w:rPr>
          <w:rFonts w:eastAsia="Calibri"/>
        </w:rPr>
      </w:pPr>
      <w:r w:rsidRPr="00464BCC">
        <w:rPr>
          <w:rFonts w:eastAsia="Calibri"/>
        </w:rPr>
        <w:t>* * * * *</w:t>
      </w:r>
    </w:p>
    <w:p w:rsidR="006E0ED0" w:rsidRDefault="006E0ED0" w:rsidP="004E7077">
      <w:pPr>
        <w:suppressLineNumbers/>
        <w:spacing w:after="240" w:line="240" w:lineRule="auto"/>
        <w:jc w:val="both"/>
        <w:sectPr w:rsidR="006E0ED0" w:rsidSect="0081495D">
          <w:headerReference w:type="default" r:id="rId7"/>
          <w:footerReference w:type="default" r:id="rId8"/>
          <w:footerReference w:type="first" r:id="rId9"/>
          <w:pgSz w:w="12240" w:h="15840"/>
          <w:pgMar w:top="2880" w:right="2880" w:bottom="2880" w:left="3600" w:header="2880" w:footer="0" w:gutter="0"/>
          <w:cols w:space="720"/>
          <w:titlePg/>
          <w:docGrid w:linePitch="360"/>
        </w:sectPr>
      </w:pPr>
    </w:p>
    <w:p w:rsidR="00F43C0A" w:rsidRDefault="00F43C0A" w:rsidP="0071243D">
      <w:pPr>
        <w:tabs>
          <w:tab w:val="left" w:pos="504"/>
          <w:tab w:val="left" w:pos="1008"/>
          <w:tab w:val="left" w:pos="1350"/>
          <w:tab w:val="left" w:pos="2016"/>
          <w:tab w:val="left" w:pos="2520"/>
          <w:tab w:val="left" w:pos="3024"/>
          <w:tab w:val="left" w:pos="3528"/>
          <w:tab w:val="left" w:pos="4032"/>
          <w:tab w:val="left" w:pos="4536"/>
        </w:tabs>
        <w:spacing w:after="240" w:line="240" w:lineRule="auto"/>
        <w:ind w:left="1354" w:hanging="1354"/>
        <w:jc w:val="both"/>
        <w:rPr>
          <w:rFonts w:eastAsia="Times New Roman"/>
          <w:szCs w:val="22"/>
          <w:lang w:val="en-CA"/>
        </w:rPr>
        <w:sectPr w:rsidR="00F43C0A" w:rsidSect="0081495D">
          <w:headerReference w:type="even" r:id="rId10"/>
          <w:headerReference w:type="first" r:id="rId11"/>
          <w:type w:val="continuous"/>
          <w:pgSz w:w="12240" w:h="15840"/>
          <w:pgMar w:top="2880" w:right="2880" w:bottom="2880" w:left="3600" w:header="2880" w:footer="0" w:gutter="0"/>
          <w:cols w:space="720"/>
          <w:titlePg/>
          <w:docGrid w:linePitch="360"/>
        </w:sectPr>
      </w:pPr>
    </w:p>
    <w:p w:rsidR="00070AE6" w:rsidRPr="0071243D" w:rsidRDefault="00070AE6" w:rsidP="0071243D">
      <w:pPr>
        <w:tabs>
          <w:tab w:val="left" w:pos="504"/>
          <w:tab w:val="left" w:pos="1008"/>
          <w:tab w:val="left" w:pos="1350"/>
          <w:tab w:val="left" w:pos="2016"/>
          <w:tab w:val="left" w:pos="2520"/>
          <w:tab w:val="left" w:pos="3024"/>
          <w:tab w:val="left" w:pos="3528"/>
          <w:tab w:val="left" w:pos="4032"/>
          <w:tab w:val="left" w:pos="4536"/>
        </w:tabs>
        <w:spacing w:after="240" w:line="240" w:lineRule="auto"/>
        <w:ind w:left="1354" w:hanging="1354"/>
        <w:jc w:val="both"/>
        <w:rPr>
          <w:rFonts w:eastAsia="Times New Roman"/>
          <w:b/>
          <w:bCs/>
          <w:szCs w:val="22"/>
        </w:rPr>
      </w:pPr>
      <w:r w:rsidRPr="00D20574">
        <w:rPr>
          <w:rFonts w:eastAsia="Times New Roman"/>
          <w:szCs w:val="22"/>
          <w:lang w:val="en-CA"/>
        </w:rPr>
        <w:lastRenderedPageBreak/>
        <w:fldChar w:fldCharType="begin"/>
      </w:r>
      <w:r w:rsidRPr="00D20574">
        <w:rPr>
          <w:rFonts w:eastAsia="Times New Roman"/>
          <w:szCs w:val="22"/>
          <w:lang w:val="en-CA"/>
        </w:rPr>
        <w:instrText xml:space="preserve"> SEQ CHAPTER \h \r 1</w:instrText>
      </w:r>
      <w:r w:rsidRPr="00D20574">
        <w:rPr>
          <w:rFonts w:eastAsia="Times New Roman"/>
          <w:szCs w:val="22"/>
        </w:rPr>
        <w:fldChar w:fldCharType="end"/>
      </w:r>
      <w:proofErr w:type="gramStart"/>
      <w:r w:rsidRPr="00D20574">
        <w:rPr>
          <w:rFonts w:eastAsia="Times New Roman"/>
          <w:b/>
          <w:bCs/>
          <w:szCs w:val="22"/>
        </w:rPr>
        <w:t>Rule 1011.</w:t>
      </w:r>
      <w:proofErr w:type="gramEnd"/>
      <w:r>
        <w:rPr>
          <w:rFonts w:eastAsia="Times New Roman"/>
          <w:b/>
          <w:bCs/>
          <w:szCs w:val="22"/>
        </w:rPr>
        <w:tab/>
        <w:t>Responsive Pleading or Motion in Involuntary</w:t>
      </w:r>
      <w:r w:rsidRPr="00D20574">
        <w:rPr>
          <w:rFonts w:eastAsia="Times New Roman"/>
          <w:b/>
          <w:bCs/>
          <w:szCs w:val="22"/>
        </w:rPr>
        <w:t xml:space="preserve"> C</w:t>
      </w:r>
      <w:r>
        <w:rPr>
          <w:rFonts w:eastAsia="Times New Roman"/>
          <w:b/>
          <w:bCs/>
          <w:szCs w:val="22"/>
        </w:rPr>
        <w:t>ases</w:t>
      </w:r>
    </w:p>
    <w:p w:rsidR="00070AE6" w:rsidRPr="00D20574" w:rsidRDefault="00070AE6" w:rsidP="00070AE6">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sidRPr="00D20574">
        <w:rPr>
          <w:rFonts w:eastAsia="Times New Roman"/>
          <w:b/>
          <w:bCs/>
          <w:szCs w:val="22"/>
        </w:rPr>
        <w:tab/>
      </w:r>
      <w:r w:rsidRPr="00D20574">
        <w:rPr>
          <w:rFonts w:eastAsia="Times New Roman"/>
          <w:szCs w:val="22"/>
        </w:rPr>
        <w:t>(a)</w:t>
      </w:r>
      <w:r>
        <w:rPr>
          <w:rFonts w:eastAsia="Times New Roman"/>
          <w:szCs w:val="22"/>
        </w:rPr>
        <w:tab/>
      </w:r>
      <w:r w:rsidRPr="00D20574">
        <w:rPr>
          <w:rFonts w:eastAsia="Times New Roman"/>
          <w:caps/>
          <w:szCs w:val="22"/>
        </w:rPr>
        <w:t xml:space="preserve">Who May Contest </w:t>
      </w:r>
      <w:proofErr w:type="gramStart"/>
      <w:r w:rsidRPr="00D20574">
        <w:rPr>
          <w:rFonts w:eastAsia="Times New Roman"/>
          <w:caps/>
          <w:szCs w:val="22"/>
        </w:rPr>
        <w:t>Petition.</w:t>
      </w:r>
      <w:proofErr w:type="gramEnd"/>
      <w:r w:rsidRPr="00D20574">
        <w:rPr>
          <w:rFonts w:eastAsia="Times New Roman"/>
          <w:szCs w:val="22"/>
        </w:rPr>
        <w:t xml:space="preserve"> </w:t>
      </w:r>
      <w:r>
        <w:rPr>
          <w:rFonts w:eastAsia="Times New Roman"/>
          <w:szCs w:val="22"/>
        </w:rPr>
        <w:t xml:space="preserve"> </w:t>
      </w:r>
      <w:r w:rsidRPr="00D20574">
        <w:rPr>
          <w:rFonts w:eastAsia="Times New Roman"/>
          <w:szCs w:val="22"/>
        </w:rPr>
        <w:t>The debtor named in an involuntary petition</w:t>
      </w:r>
      <w:r w:rsidRPr="00644B38">
        <w:rPr>
          <w:rFonts w:eastAsia="Times New Roman"/>
          <w:szCs w:val="22"/>
        </w:rPr>
        <w:t xml:space="preserve"> </w:t>
      </w:r>
      <w:r w:rsidRPr="00D20574">
        <w:rPr>
          <w:rFonts w:eastAsia="Times New Roman"/>
          <w:szCs w:val="22"/>
        </w:rPr>
        <w:t>may contest the petition.</w:t>
      </w:r>
      <w:r>
        <w:rPr>
          <w:rFonts w:eastAsia="Times New Roman"/>
          <w:szCs w:val="22"/>
        </w:rPr>
        <w:t xml:space="preserve"> </w:t>
      </w:r>
      <w:r w:rsidRPr="00D20574">
        <w:rPr>
          <w:rFonts w:eastAsia="Times New Roman"/>
          <w:szCs w:val="22"/>
        </w:rPr>
        <w:t xml:space="preserve"> In the case of a petition against a partnership under Rule</w:t>
      </w:r>
      <w:r w:rsidR="0081495D">
        <w:rPr>
          <w:rFonts w:eastAsia="Times New Roman"/>
          <w:szCs w:val="22"/>
        </w:rPr>
        <w:t> </w:t>
      </w:r>
      <w:r w:rsidRPr="00D20574">
        <w:rPr>
          <w:rFonts w:eastAsia="Times New Roman"/>
          <w:szCs w:val="22"/>
        </w:rPr>
        <w:t xml:space="preserve">1004, a </w:t>
      </w:r>
      <w:proofErr w:type="spellStart"/>
      <w:r w:rsidRPr="00D20574">
        <w:rPr>
          <w:rFonts w:eastAsia="Times New Roman"/>
          <w:szCs w:val="22"/>
        </w:rPr>
        <w:t>nonpetitioning</w:t>
      </w:r>
      <w:proofErr w:type="spellEnd"/>
      <w:r w:rsidRPr="00D20574">
        <w:rPr>
          <w:rFonts w:eastAsia="Times New Roman"/>
          <w:szCs w:val="22"/>
        </w:rPr>
        <w:t xml:space="preserve"> general partner, or a person who is alleged to be a general partner but denies the allegation, may contest the petition.</w:t>
      </w:r>
    </w:p>
    <w:p w:rsidR="00070AE6" w:rsidRPr="00464BCC" w:rsidRDefault="00070AE6" w:rsidP="00070AE6">
      <w:pPr>
        <w:spacing w:after="0" w:line="480" w:lineRule="auto"/>
        <w:ind w:left="720" w:right="720"/>
        <w:jc w:val="center"/>
        <w:rPr>
          <w:rFonts w:eastAsia="Calibri"/>
        </w:rPr>
      </w:pPr>
      <w:r w:rsidRPr="00464BCC">
        <w:rPr>
          <w:rFonts w:eastAsia="Calibri"/>
        </w:rPr>
        <w:t>* * * * *</w:t>
      </w:r>
    </w:p>
    <w:p w:rsidR="00070AE6" w:rsidRPr="0089445B" w:rsidRDefault="00070AE6" w:rsidP="0073665A">
      <w:pPr>
        <w:tabs>
          <w:tab w:val="left" w:pos="504"/>
          <w:tab w:val="left" w:pos="1008"/>
          <w:tab w:val="left" w:pos="1512"/>
          <w:tab w:val="left" w:pos="2016"/>
          <w:tab w:val="left" w:pos="2520"/>
          <w:tab w:val="left" w:pos="3024"/>
          <w:tab w:val="left" w:pos="3528"/>
          <w:tab w:val="left" w:pos="4032"/>
          <w:tab w:val="left" w:pos="4536"/>
          <w:tab w:val="left" w:pos="5040"/>
        </w:tabs>
        <w:spacing w:after="240" w:line="480" w:lineRule="auto"/>
        <w:jc w:val="both"/>
        <w:rPr>
          <w:rFonts w:eastAsia="Times New Roman"/>
          <w:szCs w:val="22"/>
        </w:rPr>
      </w:pPr>
      <w:r w:rsidRPr="00D20574">
        <w:rPr>
          <w:rFonts w:eastAsia="Times New Roman"/>
          <w:szCs w:val="22"/>
        </w:rPr>
        <w:tab/>
        <w:t>(f)</w:t>
      </w:r>
      <w:r>
        <w:rPr>
          <w:rFonts w:eastAsia="Times New Roman"/>
          <w:szCs w:val="22"/>
        </w:rPr>
        <w:tab/>
      </w:r>
      <w:r w:rsidRPr="00D20574">
        <w:rPr>
          <w:rFonts w:eastAsia="Times New Roman"/>
          <w:caps/>
          <w:szCs w:val="22"/>
        </w:rPr>
        <w:t>Corporate Ownership Statement</w:t>
      </w:r>
      <w:r w:rsidRPr="00D20574">
        <w:rPr>
          <w:rFonts w:eastAsia="Times New Roman"/>
          <w:szCs w:val="22"/>
        </w:rPr>
        <w:t>.</w:t>
      </w:r>
      <w:r>
        <w:rPr>
          <w:rFonts w:eastAsia="Times New Roman"/>
          <w:szCs w:val="22"/>
        </w:rPr>
        <w:t xml:space="preserve"> </w:t>
      </w:r>
      <w:r w:rsidRPr="00D20574">
        <w:rPr>
          <w:rFonts w:eastAsia="Times New Roman"/>
          <w:szCs w:val="22"/>
        </w:rPr>
        <w:t xml:space="preserve"> If the entity responding to the involuntary petition is a corporation, the entity shall file with its first appearance, pleading, motion, response, or other request addressed to the court a corporate ownership statement containing the information</w:t>
      </w:r>
      <w:r>
        <w:rPr>
          <w:rFonts w:eastAsia="Times New Roman"/>
          <w:szCs w:val="22"/>
        </w:rPr>
        <w:t> </w:t>
      </w:r>
      <w:r w:rsidRPr="00D20574">
        <w:rPr>
          <w:rFonts w:eastAsia="Times New Roman"/>
          <w:szCs w:val="22"/>
        </w:rPr>
        <w:t>described</w:t>
      </w:r>
      <w:r>
        <w:rPr>
          <w:rFonts w:eastAsia="Times New Roman"/>
          <w:szCs w:val="22"/>
        </w:rPr>
        <w:t> </w:t>
      </w:r>
      <w:r w:rsidRPr="00D20574">
        <w:rPr>
          <w:rFonts w:eastAsia="Times New Roman"/>
          <w:szCs w:val="22"/>
        </w:rPr>
        <w:t>in</w:t>
      </w:r>
      <w:r>
        <w:rPr>
          <w:rFonts w:eastAsia="Times New Roman"/>
          <w:szCs w:val="22"/>
        </w:rPr>
        <w:t> </w:t>
      </w:r>
      <w:r w:rsidRPr="00D20574">
        <w:rPr>
          <w:rFonts w:eastAsia="Times New Roman"/>
          <w:szCs w:val="22"/>
        </w:rPr>
        <w:t>Rule</w:t>
      </w:r>
      <w:r>
        <w:rPr>
          <w:rFonts w:eastAsia="Times New Roman"/>
          <w:szCs w:val="22"/>
        </w:rPr>
        <w:t> </w:t>
      </w:r>
      <w:r w:rsidRPr="00D20574">
        <w:rPr>
          <w:rFonts w:eastAsia="Times New Roman"/>
          <w:szCs w:val="22"/>
        </w:rPr>
        <w:t>7007.1.</w:t>
      </w:r>
    </w:p>
    <w:p w:rsidR="00230756" w:rsidRDefault="00230756" w:rsidP="00230756">
      <w:pPr>
        <w:suppressLineNumbers/>
        <w:spacing w:after="0" w:line="240" w:lineRule="auto"/>
      </w:pPr>
      <w:r>
        <w:br w:type="page"/>
      </w:r>
    </w:p>
    <w:p w:rsidR="00070AE6" w:rsidRDefault="00070AE6" w:rsidP="00070AE6">
      <w:pPr>
        <w:keepNext/>
        <w:spacing w:after="0" w:line="480" w:lineRule="auto"/>
        <w:rPr>
          <w:rFonts w:eastAsia="Times New Roman"/>
          <w:color w:val="FF0000"/>
          <w:szCs w:val="22"/>
          <w:u w:val="single"/>
          <w:lang w:val="en-CA"/>
        </w:rPr>
        <w:sectPr w:rsidR="00070AE6" w:rsidSect="00BA78F9">
          <w:pgSz w:w="12240" w:h="15840"/>
          <w:pgMar w:top="2880" w:right="2880" w:bottom="2880" w:left="3600" w:header="2880" w:footer="0" w:gutter="0"/>
          <w:cols w:space="720"/>
          <w:titlePg/>
          <w:docGrid w:linePitch="360"/>
        </w:sectPr>
      </w:pPr>
    </w:p>
    <w:p w:rsidR="00070AE6" w:rsidRPr="0081495D" w:rsidRDefault="00070AE6" w:rsidP="00070AE6">
      <w:pPr>
        <w:keepNext/>
        <w:spacing w:after="0" w:line="480" w:lineRule="auto"/>
        <w:rPr>
          <w:rFonts w:eastAsia="Times New Roman"/>
          <w:b/>
          <w:bCs/>
          <w:szCs w:val="22"/>
        </w:rPr>
      </w:pPr>
      <w:r w:rsidRPr="0081495D">
        <w:rPr>
          <w:rFonts w:eastAsia="Times New Roman"/>
          <w:szCs w:val="22"/>
          <w:lang w:val="en-CA"/>
        </w:rPr>
        <w:lastRenderedPageBreak/>
        <w:fldChar w:fldCharType="begin"/>
      </w:r>
      <w:r w:rsidRPr="0081495D">
        <w:rPr>
          <w:rFonts w:eastAsia="Times New Roman"/>
          <w:szCs w:val="22"/>
          <w:lang w:val="en-CA"/>
        </w:rPr>
        <w:instrText xml:space="preserve"> SEQ CHAPTER \h \r 1</w:instrText>
      </w:r>
      <w:r w:rsidRPr="0081495D">
        <w:rPr>
          <w:rFonts w:eastAsia="Times New Roman"/>
          <w:szCs w:val="22"/>
        </w:rPr>
        <w:fldChar w:fldCharType="end"/>
      </w:r>
      <w:proofErr w:type="gramStart"/>
      <w:r w:rsidRPr="0081495D">
        <w:rPr>
          <w:rFonts w:eastAsia="Times New Roman"/>
          <w:b/>
          <w:bCs/>
          <w:szCs w:val="22"/>
        </w:rPr>
        <w:t>Rule 1012.</w:t>
      </w:r>
      <w:proofErr w:type="gramEnd"/>
      <w:r w:rsidRPr="0081495D">
        <w:rPr>
          <w:rFonts w:eastAsia="Times New Roman"/>
          <w:b/>
          <w:bCs/>
          <w:szCs w:val="22"/>
        </w:rPr>
        <w:t xml:space="preserve">   Responsive Pleading in Cross-Border Cases</w:t>
      </w:r>
    </w:p>
    <w:p w:rsidR="00070AE6" w:rsidRPr="0081495D" w:rsidRDefault="00070AE6" w:rsidP="00070AE6">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sidRPr="0081495D">
        <w:rPr>
          <w:rFonts w:eastAsia="Times New Roman"/>
          <w:szCs w:val="22"/>
        </w:rPr>
        <w:tab/>
        <w:t>(a)</w:t>
      </w:r>
      <w:r w:rsidRPr="0081495D">
        <w:rPr>
          <w:rFonts w:eastAsia="Times New Roman"/>
          <w:szCs w:val="22"/>
        </w:rPr>
        <w:tab/>
      </w:r>
      <w:r w:rsidRPr="0081495D">
        <w:rPr>
          <w:rFonts w:eastAsia="Times New Roman"/>
          <w:caps/>
          <w:szCs w:val="22"/>
        </w:rPr>
        <w:t xml:space="preserve">Who May Contest </w:t>
      </w:r>
      <w:proofErr w:type="gramStart"/>
      <w:r w:rsidRPr="0081495D">
        <w:rPr>
          <w:rFonts w:eastAsia="Times New Roman"/>
          <w:caps/>
          <w:szCs w:val="22"/>
        </w:rPr>
        <w:t>Petition</w:t>
      </w:r>
      <w:r w:rsidRPr="0081495D">
        <w:rPr>
          <w:rFonts w:eastAsia="Times New Roman"/>
          <w:szCs w:val="22"/>
        </w:rPr>
        <w:t>.</w:t>
      </w:r>
      <w:proofErr w:type="gramEnd"/>
      <w:r w:rsidRPr="0081495D">
        <w:rPr>
          <w:rFonts w:eastAsia="Times New Roman"/>
          <w:szCs w:val="22"/>
        </w:rPr>
        <w:t xml:space="preserve">  The debtor or any party in interest may contest a petition for recognition of a foreign proceeding. </w:t>
      </w:r>
    </w:p>
    <w:p w:rsidR="00070AE6" w:rsidRPr="0081495D" w:rsidRDefault="00070AE6" w:rsidP="00070AE6">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sidRPr="0081495D">
        <w:rPr>
          <w:rFonts w:eastAsia="Times New Roman"/>
          <w:szCs w:val="22"/>
        </w:rPr>
        <w:tab/>
        <w:t>(b)</w:t>
      </w:r>
      <w:r w:rsidRPr="0081495D">
        <w:rPr>
          <w:rFonts w:eastAsia="Times New Roman"/>
          <w:szCs w:val="22"/>
        </w:rPr>
        <w:tab/>
      </w:r>
      <w:r w:rsidRPr="0081495D">
        <w:rPr>
          <w:rFonts w:eastAsia="Times New Roman"/>
          <w:caps/>
          <w:szCs w:val="22"/>
        </w:rPr>
        <w:t>Objections and Responses; When Presented</w:t>
      </w:r>
      <w:r w:rsidRPr="0081495D">
        <w:rPr>
          <w:rFonts w:eastAsia="Times New Roman"/>
          <w:szCs w:val="22"/>
        </w:rPr>
        <w:t>.  Objections and other responses to the petition shall be presented no later than seven days before the date set for the hearing on the petition, unless the court prescribes some other time or manner for responses.</w:t>
      </w:r>
    </w:p>
    <w:p w:rsidR="00070AE6" w:rsidRPr="0081495D" w:rsidRDefault="00070AE6" w:rsidP="0073665A">
      <w:pPr>
        <w:tabs>
          <w:tab w:val="left" w:pos="504"/>
          <w:tab w:val="left" w:pos="1008"/>
          <w:tab w:val="left" w:pos="1512"/>
          <w:tab w:val="left" w:pos="2016"/>
          <w:tab w:val="left" w:pos="2520"/>
          <w:tab w:val="left" w:pos="3024"/>
          <w:tab w:val="left" w:pos="3528"/>
          <w:tab w:val="left" w:pos="4032"/>
          <w:tab w:val="left" w:pos="4536"/>
          <w:tab w:val="left" w:pos="5040"/>
        </w:tabs>
        <w:spacing w:after="240" w:line="480" w:lineRule="auto"/>
        <w:jc w:val="both"/>
        <w:rPr>
          <w:rFonts w:eastAsia="Times New Roman"/>
          <w:szCs w:val="22"/>
        </w:rPr>
      </w:pPr>
      <w:r w:rsidRPr="0081495D">
        <w:rPr>
          <w:rFonts w:eastAsia="Times New Roman"/>
          <w:szCs w:val="22"/>
        </w:rPr>
        <w:tab/>
        <w:t>(c)</w:t>
      </w:r>
      <w:r w:rsidRPr="0081495D">
        <w:rPr>
          <w:rFonts w:eastAsia="Times New Roman"/>
          <w:szCs w:val="22"/>
        </w:rPr>
        <w:tab/>
      </w:r>
      <w:r w:rsidRPr="0081495D">
        <w:rPr>
          <w:rFonts w:eastAsia="Times New Roman"/>
          <w:caps/>
          <w:szCs w:val="22"/>
        </w:rPr>
        <w:t>Corporate Ownership Statement</w:t>
      </w:r>
      <w:r w:rsidRPr="0081495D">
        <w:rPr>
          <w:rFonts w:eastAsia="Times New Roman"/>
          <w:szCs w:val="22"/>
        </w:rPr>
        <w:t>.  If the entity responding to the petition is a corporation, then the entity shall file a corporate ownership statement containing the information described in Rule 7007.1 with its first appearance, pleading, motion, response, or other request addressed to the court.</w:t>
      </w:r>
    </w:p>
    <w:p w:rsidR="006E0ED0" w:rsidRDefault="006E0ED0" w:rsidP="00230756">
      <w:pPr>
        <w:suppressLineNumbers/>
        <w:spacing w:after="0" w:line="240" w:lineRule="auto"/>
        <w:sectPr w:rsidR="006E0ED0" w:rsidSect="008002FB">
          <w:headerReference w:type="default" r:id="rId12"/>
          <w:type w:val="continuous"/>
          <w:pgSz w:w="12240" w:h="15840"/>
          <w:pgMar w:top="2880" w:right="2880" w:bottom="2880" w:left="3600" w:header="2880" w:footer="0" w:gutter="0"/>
          <w:cols w:space="720"/>
          <w:docGrid w:linePitch="360"/>
        </w:sectPr>
      </w:pPr>
    </w:p>
    <w:p w:rsidR="006E0ED0" w:rsidRDefault="006E0ED0" w:rsidP="00230756">
      <w:pPr>
        <w:suppressLineNumbers/>
        <w:spacing w:after="0" w:line="240" w:lineRule="auto"/>
        <w:sectPr w:rsidR="006E0ED0" w:rsidSect="0081495D">
          <w:type w:val="continuous"/>
          <w:pgSz w:w="12240" w:h="15840"/>
          <w:pgMar w:top="2880" w:right="2880" w:bottom="2880" w:left="3600" w:header="2880" w:footer="0" w:gutter="0"/>
          <w:cols w:space="720"/>
          <w:docGrid w:linePitch="360"/>
        </w:sectPr>
      </w:pPr>
    </w:p>
    <w:p w:rsidR="009A060E" w:rsidRPr="00464BCC" w:rsidRDefault="009A060E" w:rsidP="008A7D60">
      <w:pPr>
        <w:tabs>
          <w:tab w:val="left" w:pos="504"/>
          <w:tab w:val="left" w:pos="1008"/>
          <w:tab w:val="left" w:pos="1260"/>
          <w:tab w:val="left" w:pos="2016"/>
          <w:tab w:val="left" w:pos="2520"/>
          <w:tab w:val="left" w:pos="3024"/>
          <w:tab w:val="left" w:pos="3528"/>
          <w:tab w:val="left" w:pos="4032"/>
          <w:tab w:val="left" w:pos="4536"/>
          <w:tab w:val="left" w:pos="5040"/>
        </w:tabs>
        <w:spacing w:after="240" w:line="240" w:lineRule="auto"/>
        <w:ind w:left="1267" w:hanging="1267"/>
        <w:jc w:val="both"/>
        <w:rPr>
          <w:rFonts w:eastAsia="Calibri"/>
          <w:b/>
        </w:rPr>
      </w:pPr>
      <w:proofErr w:type="gramStart"/>
      <w:r w:rsidRPr="00464BCC">
        <w:rPr>
          <w:rFonts w:eastAsia="Calibri"/>
          <w:b/>
        </w:rPr>
        <w:lastRenderedPageBreak/>
        <w:t>Rule 2002</w:t>
      </w:r>
      <w:r w:rsidRPr="00464BCC">
        <w:rPr>
          <w:rFonts w:eastAsia="Calibri"/>
          <w:b/>
          <w:caps/>
        </w:rPr>
        <w:t>.</w:t>
      </w:r>
      <w:proofErr w:type="gramEnd"/>
      <w:r>
        <w:rPr>
          <w:rFonts w:eastAsia="Calibri"/>
          <w:b/>
          <w:caps/>
        </w:rPr>
        <w:tab/>
      </w:r>
      <w:r w:rsidRPr="00464BCC">
        <w:rPr>
          <w:rFonts w:eastAsia="Calibri"/>
          <w:b/>
        </w:rPr>
        <w:t xml:space="preserve">Notices to Creditors, Equity Security Holders, Administrators in Foreign Proceedings, Persons </w:t>
      </w:r>
      <w:proofErr w:type="gramStart"/>
      <w:r w:rsidRPr="00464BCC">
        <w:rPr>
          <w:rFonts w:eastAsia="Calibri"/>
          <w:b/>
        </w:rPr>
        <w:t>Against</w:t>
      </w:r>
      <w:proofErr w:type="gramEnd"/>
      <w:r w:rsidRPr="00464BCC">
        <w:rPr>
          <w:rFonts w:eastAsia="Calibri"/>
          <w:b/>
        </w:rPr>
        <w:t xml:space="preserve"> Whom Provisional Relief is Sought in Ancillary and Other Cross-Border Cases, United States, and United States Trustee</w:t>
      </w:r>
    </w:p>
    <w:p w:rsidR="009A060E" w:rsidRDefault="009A060E" w:rsidP="008A7D60">
      <w:pPr>
        <w:tabs>
          <w:tab w:val="left" w:pos="504"/>
          <w:tab w:val="left" w:pos="1008"/>
          <w:tab w:val="left" w:pos="1512"/>
          <w:tab w:val="left" w:pos="2016"/>
          <w:tab w:val="left" w:pos="2520"/>
          <w:tab w:val="left" w:pos="3024"/>
          <w:tab w:val="left" w:pos="3528"/>
          <w:tab w:val="left" w:pos="4032"/>
          <w:tab w:val="left" w:pos="4536"/>
          <w:tab w:val="left" w:pos="5040"/>
        </w:tabs>
        <w:spacing w:after="240" w:line="240" w:lineRule="auto"/>
        <w:jc w:val="center"/>
        <w:rPr>
          <w:rFonts w:eastAsia="Times New Roman"/>
          <w:szCs w:val="22"/>
        </w:rPr>
      </w:pPr>
      <w:r>
        <w:rPr>
          <w:rFonts w:eastAsia="Times New Roman"/>
          <w:szCs w:val="22"/>
        </w:rPr>
        <w:t>* * * * *</w:t>
      </w:r>
    </w:p>
    <w:p w:rsidR="009A060E" w:rsidRPr="002B5028" w:rsidRDefault="009A060E" w:rsidP="009A060E">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sidRPr="002B5028">
        <w:rPr>
          <w:rFonts w:eastAsia="Times New Roman"/>
          <w:szCs w:val="22"/>
        </w:rPr>
        <w:tab/>
        <w:t>(q)</w:t>
      </w:r>
      <w:r>
        <w:rPr>
          <w:rFonts w:eastAsia="Times New Roman"/>
          <w:szCs w:val="22"/>
        </w:rPr>
        <w:tab/>
      </w:r>
      <w:r w:rsidRPr="002B5028">
        <w:rPr>
          <w:rFonts w:eastAsia="Times New Roman"/>
          <w:caps/>
          <w:szCs w:val="22"/>
        </w:rPr>
        <w:t>Notice of Petition for Recognition of Foreign Proceeding and of Court’s Intention to Communicate with Foreign Courts and Foreign Representatives</w:t>
      </w:r>
      <w:r w:rsidRPr="002B5028">
        <w:rPr>
          <w:rFonts w:eastAsia="Times New Roman"/>
          <w:szCs w:val="22"/>
        </w:rPr>
        <w:t>.</w:t>
      </w:r>
    </w:p>
    <w:p w:rsidR="009A060E" w:rsidRPr="00AF0F96" w:rsidRDefault="009A060E" w:rsidP="0073665A">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ind w:left="504" w:hanging="504"/>
        <w:jc w:val="both"/>
        <w:rPr>
          <w:rFonts w:eastAsia="Times New Roman"/>
          <w:szCs w:val="22"/>
          <w:u w:val="single"/>
        </w:rPr>
      </w:pPr>
      <w:r w:rsidRPr="002B5028">
        <w:rPr>
          <w:rFonts w:eastAsia="Times New Roman"/>
          <w:szCs w:val="22"/>
        </w:rPr>
        <w:tab/>
      </w:r>
      <w:r>
        <w:rPr>
          <w:rFonts w:eastAsia="Times New Roman"/>
          <w:szCs w:val="22"/>
        </w:rPr>
        <w:tab/>
      </w:r>
      <w:r w:rsidRPr="002B5028">
        <w:rPr>
          <w:rFonts w:eastAsia="Times New Roman"/>
          <w:szCs w:val="22"/>
        </w:rPr>
        <w:t>(1)</w:t>
      </w:r>
      <w:r>
        <w:rPr>
          <w:rFonts w:eastAsia="Times New Roman"/>
          <w:szCs w:val="22"/>
        </w:rPr>
        <w:tab/>
      </w:r>
      <w:r w:rsidRPr="002B5028">
        <w:rPr>
          <w:rFonts w:eastAsia="Times New Roman"/>
          <w:i/>
          <w:szCs w:val="22"/>
        </w:rPr>
        <w:t>Notice of Petition for Recognition</w:t>
      </w:r>
      <w:r w:rsidRPr="00AF0F96">
        <w:rPr>
          <w:rFonts w:eastAsia="Times New Roman"/>
          <w:szCs w:val="22"/>
        </w:rPr>
        <w:t xml:space="preserve">.  </w:t>
      </w:r>
      <w:r w:rsidRPr="0081495D">
        <w:rPr>
          <w:rFonts w:eastAsia="Times New Roman"/>
          <w:szCs w:val="22"/>
        </w:rPr>
        <w:t xml:space="preserve">After the filing of a petition for recognition of a foreign proceeding, the court shall promptly schedule and hold a hearing on the petition.  </w:t>
      </w:r>
      <w:r w:rsidRPr="00AF0F96">
        <w:rPr>
          <w:rFonts w:eastAsia="Times New Roman"/>
          <w:szCs w:val="22"/>
        </w:rPr>
        <w:t xml:space="preserve">The clerk, or some </w:t>
      </w:r>
      <w:r w:rsidRPr="002B5028">
        <w:rPr>
          <w:rFonts w:eastAsia="Times New Roman"/>
          <w:szCs w:val="22"/>
        </w:rPr>
        <w:t xml:space="preserve">other person as the court may direct, shall forthwith give the debtor, all persons or bodies authorized to administer foreign proceedings of the debtor, all entities against whom provisional relief is being sought under §1519 of the Code, all parties to </w:t>
      </w:r>
      <w:r w:rsidRPr="002B5028">
        <w:rPr>
          <w:rFonts w:eastAsia="Times New Roman"/>
          <w:szCs w:val="22"/>
        </w:rPr>
        <w:lastRenderedPageBreak/>
        <w:t>litigation pending in the United States in which the debtor is a party at the tim</w:t>
      </w:r>
      <w:bookmarkStart w:id="0" w:name="_GoBack"/>
      <w:bookmarkEnd w:id="0"/>
      <w:r w:rsidRPr="002B5028">
        <w:rPr>
          <w:rFonts w:eastAsia="Times New Roman"/>
          <w:szCs w:val="22"/>
        </w:rPr>
        <w:t xml:space="preserve">e of the filing of the petition, and such other entities as the court may direct, at least 21 days’ notice by mail of the hearing. The notice shall state whether the petition seeks recognition as a foreign main proceeding or foreign </w:t>
      </w:r>
      <w:proofErr w:type="spellStart"/>
      <w:r w:rsidRPr="004002ED">
        <w:rPr>
          <w:rFonts w:eastAsia="Times New Roman"/>
          <w:szCs w:val="22"/>
        </w:rPr>
        <w:t>nonmain</w:t>
      </w:r>
      <w:proofErr w:type="spellEnd"/>
      <w:r w:rsidRPr="004002ED">
        <w:rPr>
          <w:rFonts w:eastAsia="Times New Roman"/>
          <w:szCs w:val="22"/>
        </w:rPr>
        <w:t xml:space="preserve"> proceeding</w:t>
      </w:r>
      <w:r w:rsidRPr="00925975">
        <w:rPr>
          <w:rFonts w:eastAsia="Times New Roman"/>
          <w:szCs w:val="22"/>
        </w:rPr>
        <w:t xml:space="preserve"> and shall include the petition and any other document the court may require.  If the court consolidates the hearing on the petition with the hearing on a request for provisional relief, the court may set a shorter notice period, with notice to the entities listed in this subdivision.</w:t>
      </w:r>
    </w:p>
    <w:p w:rsidR="009A060E" w:rsidRDefault="009A060E" w:rsidP="00F10627">
      <w:pPr>
        <w:spacing w:after="240" w:line="240" w:lineRule="auto"/>
        <w:jc w:val="center"/>
        <w:rPr>
          <w:rFonts w:eastAsia="Calibri"/>
        </w:rPr>
      </w:pPr>
      <w:r w:rsidRPr="004E12DE">
        <w:rPr>
          <w:rFonts w:eastAsia="Calibri"/>
        </w:rPr>
        <w:t>* * * * *</w:t>
      </w:r>
    </w:p>
    <w:p w:rsidR="004002ED" w:rsidRPr="00925975" w:rsidRDefault="004002ED" w:rsidP="009A060E">
      <w:pPr>
        <w:suppressLineNumbers/>
        <w:spacing w:after="0" w:line="240" w:lineRule="auto"/>
        <w:ind w:firstLine="720"/>
        <w:jc w:val="both"/>
        <w:rPr>
          <w:rFonts w:eastAsia="Calibri"/>
        </w:rPr>
      </w:pPr>
    </w:p>
    <w:p w:rsidR="008A7D60" w:rsidRDefault="008A7D60" w:rsidP="00C61948">
      <w:pPr>
        <w:keepNext/>
        <w:keepLines/>
        <w:suppressLineNumbers/>
        <w:spacing w:after="0" w:line="240" w:lineRule="auto"/>
        <w:ind w:left="-720" w:right="-720" w:firstLine="720"/>
        <w:rPr>
          <w:rFonts w:eastAsia="Times New Roman"/>
          <w:szCs w:val="22"/>
        </w:rPr>
        <w:sectPr w:rsidR="008A7D60" w:rsidSect="0081495D">
          <w:headerReference w:type="even" r:id="rId13"/>
          <w:footerReference w:type="default" r:id="rId14"/>
          <w:headerReference w:type="first" r:id="rId15"/>
          <w:type w:val="continuous"/>
          <w:pgSz w:w="12240" w:h="15840"/>
          <w:pgMar w:top="2880" w:right="2880" w:bottom="2880" w:left="3600" w:header="2880" w:footer="0" w:gutter="0"/>
          <w:cols w:space="720"/>
          <w:titlePg/>
          <w:docGrid w:linePitch="360"/>
        </w:sectPr>
      </w:pPr>
    </w:p>
    <w:p w:rsidR="00A35B8A" w:rsidRPr="00B04081" w:rsidRDefault="00A35B8A" w:rsidP="00F10627">
      <w:pPr>
        <w:tabs>
          <w:tab w:val="left" w:pos="504"/>
          <w:tab w:val="left" w:pos="1008"/>
          <w:tab w:val="left" w:pos="1512"/>
          <w:tab w:val="left" w:pos="2016"/>
          <w:tab w:val="left" w:pos="2520"/>
          <w:tab w:val="left" w:pos="3024"/>
          <w:tab w:val="left" w:pos="3528"/>
          <w:tab w:val="left" w:pos="4032"/>
          <w:tab w:val="left" w:pos="4536"/>
          <w:tab w:val="left" w:pos="5040"/>
        </w:tabs>
        <w:spacing w:after="240" w:line="240" w:lineRule="auto"/>
        <w:ind w:left="1498" w:hanging="1498"/>
        <w:jc w:val="both"/>
        <w:rPr>
          <w:rFonts w:eastAsia="Times New Roman"/>
          <w:b/>
          <w:szCs w:val="22"/>
        </w:rPr>
      </w:pPr>
      <w:proofErr w:type="gramStart"/>
      <w:r w:rsidRPr="00B04081">
        <w:rPr>
          <w:rFonts w:eastAsia="Times New Roman"/>
          <w:b/>
          <w:szCs w:val="22"/>
        </w:rPr>
        <w:lastRenderedPageBreak/>
        <w:t>Rule 3002.1.</w:t>
      </w:r>
      <w:proofErr w:type="gramEnd"/>
      <w:r>
        <w:rPr>
          <w:rFonts w:eastAsia="Times New Roman"/>
          <w:b/>
          <w:szCs w:val="22"/>
        </w:rPr>
        <w:tab/>
      </w:r>
      <w:r w:rsidRPr="00B04081">
        <w:rPr>
          <w:rFonts w:eastAsia="Times New Roman"/>
          <w:b/>
          <w:szCs w:val="22"/>
        </w:rPr>
        <w:t>Notice Relating to Claims Secured by Security Interest in the Debtor’s Principal Residence</w:t>
      </w:r>
    </w:p>
    <w:p w:rsidR="00A35B8A" w:rsidRPr="00AF0F96" w:rsidRDefault="00A35B8A" w:rsidP="0073665A">
      <w:pPr>
        <w:tabs>
          <w:tab w:val="left" w:pos="504"/>
          <w:tab w:val="left" w:pos="1008"/>
          <w:tab w:val="left" w:pos="1512"/>
          <w:tab w:val="left" w:pos="2016"/>
          <w:tab w:val="left" w:pos="2520"/>
          <w:tab w:val="left" w:pos="3024"/>
          <w:tab w:val="left" w:pos="3528"/>
          <w:tab w:val="left" w:pos="4032"/>
          <w:tab w:val="left" w:pos="4536"/>
          <w:tab w:val="left" w:pos="5040"/>
        </w:tabs>
        <w:spacing w:after="0" w:line="480" w:lineRule="auto"/>
        <w:jc w:val="both"/>
        <w:rPr>
          <w:rFonts w:eastAsia="Times New Roman"/>
          <w:szCs w:val="22"/>
        </w:rPr>
      </w:pPr>
      <w:r>
        <w:rPr>
          <w:rFonts w:eastAsia="Times New Roman"/>
          <w:szCs w:val="22"/>
        </w:rPr>
        <w:tab/>
      </w:r>
      <w:r w:rsidRPr="00B04081">
        <w:rPr>
          <w:rFonts w:eastAsia="Times New Roman"/>
          <w:szCs w:val="22"/>
        </w:rPr>
        <w:t>(a)</w:t>
      </w:r>
      <w:r>
        <w:rPr>
          <w:rFonts w:eastAsia="Times New Roman"/>
          <w:szCs w:val="22"/>
        </w:rPr>
        <w:tab/>
      </w:r>
      <w:r w:rsidRPr="00B04081">
        <w:rPr>
          <w:rFonts w:eastAsia="Times New Roman"/>
          <w:szCs w:val="22"/>
        </w:rPr>
        <w:t xml:space="preserve">IN GENERAL.  This rule applies in a chapter 13 </w:t>
      </w:r>
      <w:proofErr w:type="gramStart"/>
      <w:r w:rsidRPr="00B04081">
        <w:rPr>
          <w:rFonts w:eastAsia="Times New Roman"/>
          <w:szCs w:val="22"/>
        </w:rPr>
        <w:t>case</w:t>
      </w:r>
      <w:proofErr w:type="gramEnd"/>
      <w:r w:rsidRPr="00B04081">
        <w:rPr>
          <w:rFonts w:eastAsia="Times New Roman"/>
          <w:szCs w:val="22"/>
        </w:rPr>
        <w:t xml:space="preserve"> to claims </w:t>
      </w:r>
      <w:r w:rsidRPr="00925975">
        <w:rPr>
          <w:rFonts w:eastAsia="Times New Roman"/>
          <w:szCs w:val="22"/>
        </w:rPr>
        <w:t xml:space="preserve">(1) </w:t>
      </w:r>
      <w:r w:rsidRPr="00A35B8A">
        <w:rPr>
          <w:rFonts w:eastAsia="Times New Roman"/>
          <w:szCs w:val="22"/>
        </w:rPr>
        <w:t>that are secured by a security interest in the debtor’s principal residence, and (2</w:t>
      </w:r>
      <w:r w:rsidRPr="00AF0F96">
        <w:rPr>
          <w:rFonts w:eastAsia="Times New Roman"/>
          <w:szCs w:val="22"/>
        </w:rPr>
        <w:t xml:space="preserve">) </w:t>
      </w:r>
      <w:r w:rsidRPr="00925975">
        <w:rPr>
          <w:rFonts w:eastAsia="Times New Roman"/>
          <w:szCs w:val="22"/>
        </w:rPr>
        <w:t>for which the plan provides that either the trustee or the debtor will make contractual installment payments</w:t>
      </w:r>
      <w:r w:rsidRPr="00AF0F96">
        <w:rPr>
          <w:rFonts w:eastAsia="Times New Roman"/>
          <w:szCs w:val="22"/>
        </w:rPr>
        <w:t>.</w:t>
      </w:r>
      <w:r w:rsidRPr="00925975">
        <w:rPr>
          <w:rFonts w:eastAsia="Times New Roman"/>
          <w:szCs w:val="22"/>
        </w:rPr>
        <w:t xml:space="preserve">  Unless the court orders otherwise, the notice requirements of this rule cease to apply when an order terminating or annulling the automatic stay becomes effective with respect to the residence that secures the claim.</w:t>
      </w:r>
    </w:p>
    <w:p w:rsidR="00A35B8A" w:rsidRPr="00B04081" w:rsidRDefault="00A35B8A" w:rsidP="00AF0F96">
      <w:pPr>
        <w:spacing w:after="240" w:line="240" w:lineRule="auto"/>
        <w:ind w:left="720" w:right="720"/>
        <w:jc w:val="center"/>
        <w:rPr>
          <w:rFonts w:eastAsia="Times New Roman"/>
          <w:szCs w:val="22"/>
        </w:rPr>
      </w:pPr>
      <w:r w:rsidRPr="00B04081">
        <w:rPr>
          <w:rFonts w:eastAsia="Times New Roman"/>
          <w:szCs w:val="22"/>
        </w:rPr>
        <w:t>* * * * *</w:t>
      </w:r>
    </w:p>
    <w:p w:rsidR="00F554AB" w:rsidRPr="00925975" w:rsidRDefault="00F554AB" w:rsidP="00A35B8A">
      <w:pPr>
        <w:suppressLineNumbers/>
        <w:spacing w:after="0" w:line="240" w:lineRule="auto"/>
        <w:ind w:firstLine="720"/>
        <w:jc w:val="both"/>
        <w:rPr>
          <w:rFonts w:eastAsia="Times New Roman"/>
          <w:szCs w:val="22"/>
        </w:rPr>
      </w:pPr>
    </w:p>
    <w:p w:rsidR="00A918CF" w:rsidRDefault="00A918CF" w:rsidP="008A7D60">
      <w:pPr>
        <w:suppressLineNumbers/>
        <w:spacing w:after="0" w:line="240" w:lineRule="auto"/>
      </w:pPr>
      <w:r>
        <w:br w:type="page"/>
      </w:r>
    </w:p>
    <w:p w:rsidR="00F41DBB" w:rsidRPr="0072215D" w:rsidRDefault="00F41DBB" w:rsidP="003011E3">
      <w:pPr>
        <w:autoSpaceDE w:val="0"/>
        <w:autoSpaceDN w:val="0"/>
        <w:adjustRightInd w:val="0"/>
        <w:spacing w:after="0" w:line="240" w:lineRule="auto"/>
        <w:ind w:left="1260" w:hanging="1260"/>
        <w:rPr>
          <w:rFonts w:eastAsia="Calibri"/>
          <w:vertAlign w:val="superscript"/>
          <w:lang w:val="en-CA"/>
        </w:rPr>
        <w:sectPr w:rsidR="00F41DBB" w:rsidRPr="0072215D" w:rsidSect="0081495D">
          <w:headerReference w:type="even" r:id="rId16"/>
          <w:headerReference w:type="default" r:id="rId17"/>
          <w:footerReference w:type="default" r:id="rId18"/>
          <w:footerReference w:type="first" r:id="rId19"/>
          <w:pgSz w:w="12240" w:h="15840"/>
          <w:pgMar w:top="2880" w:right="2880" w:bottom="2880" w:left="3600" w:header="2880" w:footer="0" w:gutter="0"/>
          <w:cols w:space="720"/>
          <w:docGrid w:linePitch="360"/>
        </w:sectPr>
      </w:pPr>
    </w:p>
    <w:p w:rsidR="009F4A07" w:rsidRPr="009F4A07" w:rsidRDefault="009F4A07" w:rsidP="009F4A07">
      <w:pPr>
        <w:suppressLineNumbers/>
        <w:spacing w:after="0" w:line="480" w:lineRule="auto"/>
        <w:jc w:val="both"/>
        <w:rPr>
          <w:rFonts w:eastAsia="Times New Roman"/>
          <w:szCs w:val="20"/>
        </w:rPr>
      </w:pPr>
      <w:proofErr w:type="gramStart"/>
      <w:r w:rsidRPr="009F4A07">
        <w:rPr>
          <w:rFonts w:eastAsia="Times New Roman"/>
          <w:b/>
          <w:szCs w:val="20"/>
        </w:rPr>
        <w:lastRenderedPageBreak/>
        <w:t>Rule 7008.</w:t>
      </w:r>
      <w:proofErr w:type="gramEnd"/>
      <w:r w:rsidRPr="009F4A07">
        <w:rPr>
          <w:rFonts w:eastAsia="Times New Roman"/>
          <w:b/>
          <w:szCs w:val="20"/>
        </w:rPr>
        <w:t xml:space="preserve">   General Rules of Pleading</w:t>
      </w:r>
    </w:p>
    <w:p w:rsidR="009F4A07" w:rsidRPr="009F4A07" w:rsidRDefault="009F4A07" w:rsidP="009F4A07">
      <w:pPr>
        <w:suppressLineNumbers/>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ind w:firstLine="504"/>
        <w:jc w:val="both"/>
        <w:rPr>
          <w:rFonts w:eastAsia="Times New Roman"/>
          <w:szCs w:val="20"/>
        </w:rPr>
      </w:pPr>
      <w:r w:rsidRPr="009F4A07">
        <w:rPr>
          <w:rFonts w:eastAsia="Times New Roman"/>
          <w:szCs w:val="20"/>
        </w:rPr>
        <w:t>Rule </w:t>
      </w:r>
      <w:proofErr w:type="gramStart"/>
      <w:r w:rsidRPr="009F4A07">
        <w:rPr>
          <w:rFonts w:eastAsia="Times New Roman"/>
          <w:szCs w:val="20"/>
        </w:rPr>
        <w:t xml:space="preserve">8 </w:t>
      </w:r>
      <w:proofErr w:type="spellStart"/>
      <w:r w:rsidRPr="009F4A07">
        <w:rPr>
          <w:rFonts w:eastAsia="Times New Roman"/>
          <w:szCs w:val="20"/>
        </w:rPr>
        <w:t>F.R.Civ.P</w:t>
      </w:r>
      <w:proofErr w:type="spellEnd"/>
      <w:proofErr w:type="gramEnd"/>
      <w:r w:rsidRPr="009F4A07">
        <w:rPr>
          <w:rFonts w:eastAsia="Times New Roman"/>
          <w:szCs w:val="20"/>
        </w:rPr>
        <w:t xml:space="preserve">. </w:t>
      </w:r>
      <w:proofErr w:type="gramStart"/>
      <w:r w:rsidRPr="009F4A07">
        <w:rPr>
          <w:rFonts w:eastAsia="Times New Roman"/>
          <w:szCs w:val="20"/>
        </w:rPr>
        <w:t>applies</w:t>
      </w:r>
      <w:proofErr w:type="gramEnd"/>
      <w:r w:rsidRPr="009F4A07">
        <w:rPr>
          <w:rFonts w:eastAsia="Times New Roman"/>
          <w:szCs w:val="20"/>
        </w:rPr>
        <w:t xml:space="preserve"> in adversary proceedings.  The allegation of jurisdiction required by Rule 8(a) shall also contain a reference to the name, number, and chapter of the case under the Code to which the adversary proceeding relates and to the district and division where the case under the Code is pending.  In an adversary proceeding before a bankruptcy court, the complaint, counterclaim, cross-claim, or third-party complaint shall contain a statement that the pleader does or does not consent to entry of final orders or judgment by the bankruptcy court.</w:t>
      </w:r>
    </w:p>
    <w:p w:rsidR="009F4A07" w:rsidRDefault="009F4A07" w:rsidP="009F4A07">
      <w:pPr>
        <w:suppressLineNumbers/>
        <w:spacing w:after="0" w:line="240" w:lineRule="auto"/>
        <w:jc w:val="both"/>
        <w:rPr>
          <w:rFonts w:eastAsia="Times New Roman"/>
          <w:szCs w:val="20"/>
        </w:rPr>
      </w:pPr>
    </w:p>
    <w:p w:rsidR="00BA78F9" w:rsidRPr="009F4A07" w:rsidRDefault="00BA78F9" w:rsidP="009F4A07">
      <w:pPr>
        <w:suppressLineNumbers/>
        <w:spacing w:after="0" w:line="240" w:lineRule="auto"/>
        <w:jc w:val="both"/>
        <w:rPr>
          <w:rFonts w:eastAsia="Times New Roman"/>
          <w:szCs w:val="20"/>
        </w:rPr>
        <w:sectPr w:rsidR="00BA78F9" w:rsidRPr="009F4A07" w:rsidSect="00DF263F">
          <w:headerReference w:type="even" r:id="rId20"/>
          <w:headerReference w:type="default" r:id="rId21"/>
          <w:headerReference w:type="first" r:id="rId22"/>
          <w:type w:val="continuous"/>
          <w:pgSz w:w="12240" w:h="15840"/>
          <w:pgMar w:top="2880" w:right="2880" w:bottom="2880" w:left="3600" w:header="2880" w:footer="1440" w:gutter="0"/>
          <w:lnNumType w:countBy="1" w:restart="newSection"/>
          <w:cols w:space="720"/>
          <w:titlePg/>
          <w:docGrid w:linePitch="326"/>
        </w:sectPr>
      </w:pPr>
    </w:p>
    <w:p w:rsidR="00BA78F9" w:rsidRDefault="00BA78F9" w:rsidP="009F4A07">
      <w:pPr>
        <w:tabs>
          <w:tab w:val="left" w:pos="504"/>
          <w:tab w:val="left" w:pos="1008"/>
          <w:tab w:val="left" w:pos="1350"/>
          <w:tab w:val="left" w:pos="2016"/>
          <w:tab w:val="left" w:pos="2520"/>
          <w:tab w:val="left" w:pos="3024"/>
          <w:tab w:val="left" w:pos="3528"/>
          <w:tab w:val="left" w:pos="4032"/>
          <w:tab w:val="left" w:pos="4536"/>
          <w:tab w:val="left" w:pos="5040"/>
          <w:tab w:val="left" w:pos="5544"/>
        </w:tabs>
        <w:spacing w:after="0" w:line="240" w:lineRule="auto"/>
        <w:ind w:left="1354" w:hanging="1354"/>
        <w:jc w:val="both"/>
        <w:rPr>
          <w:rFonts w:eastAsia="Times New Roman"/>
          <w:b/>
          <w:szCs w:val="20"/>
        </w:rPr>
        <w:sectPr w:rsidR="00BA78F9" w:rsidSect="00765777">
          <w:headerReference w:type="even" r:id="rId23"/>
          <w:headerReference w:type="default" r:id="rId24"/>
          <w:footerReference w:type="even" r:id="rId25"/>
          <w:footerReference w:type="default" r:id="rId26"/>
          <w:type w:val="continuous"/>
          <w:pgSz w:w="12240" w:h="15840"/>
          <w:pgMar w:top="2880" w:right="2880" w:bottom="2880" w:left="3600" w:header="2880" w:footer="1440" w:gutter="0"/>
          <w:cols w:space="720"/>
          <w:docGrid w:linePitch="326"/>
        </w:sectPr>
      </w:pPr>
    </w:p>
    <w:p w:rsidR="009F4A07" w:rsidRPr="009F4A07" w:rsidRDefault="009F4A07" w:rsidP="009F4A07">
      <w:pPr>
        <w:tabs>
          <w:tab w:val="left" w:pos="504"/>
          <w:tab w:val="left" w:pos="1008"/>
          <w:tab w:val="left" w:pos="1350"/>
          <w:tab w:val="left" w:pos="2016"/>
          <w:tab w:val="left" w:pos="2520"/>
          <w:tab w:val="left" w:pos="3024"/>
          <w:tab w:val="left" w:pos="3528"/>
          <w:tab w:val="left" w:pos="4032"/>
          <w:tab w:val="left" w:pos="4536"/>
          <w:tab w:val="left" w:pos="5040"/>
          <w:tab w:val="left" w:pos="5544"/>
        </w:tabs>
        <w:spacing w:after="0" w:line="240" w:lineRule="auto"/>
        <w:ind w:left="1354" w:hanging="1354"/>
        <w:jc w:val="both"/>
        <w:rPr>
          <w:rFonts w:eastAsia="Times New Roman"/>
          <w:szCs w:val="20"/>
        </w:rPr>
      </w:pPr>
      <w:proofErr w:type="gramStart"/>
      <w:r w:rsidRPr="009F4A07">
        <w:rPr>
          <w:rFonts w:eastAsia="Times New Roman"/>
          <w:b/>
          <w:szCs w:val="20"/>
        </w:rPr>
        <w:lastRenderedPageBreak/>
        <w:t>Rule 7012.</w:t>
      </w:r>
      <w:proofErr w:type="gramEnd"/>
      <w:r w:rsidRPr="009F4A07">
        <w:rPr>
          <w:rFonts w:eastAsia="Times New Roman"/>
          <w:b/>
          <w:szCs w:val="20"/>
        </w:rPr>
        <w:tab/>
        <w:t>Defenses and Objections—When and How Presented—By Pleading or Motion—Motion for Judgment on the Pleadings</w:t>
      </w:r>
    </w:p>
    <w:p w:rsidR="009F4A07" w:rsidRPr="009F4A07" w:rsidRDefault="009F4A07" w:rsidP="009F4A07">
      <w:pPr>
        <w:suppressLineNumbers/>
        <w:spacing w:after="0" w:line="240" w:lineRule="auto"/>
        <w:jc w:val="center"/>
        <w:rPr>
          <w:rFonts w:eastAsia="Times New Roman"/>
          <w:szCs w:val="20"/>
        </w:rPr>
      </w:pPr>
    </w:p>
    <w:p w:rsidR="009F4A07" w:rsidRPr="009F4A07" w:rsidRDefault="009F4A07" w:rsidP="009F4A07">
      <w:pPr>
        <w:spacing w:after="0" w:line="480" w:lineRule="auto"/>
        <w:jc w:val="center"/>
        <w:rPr>
          <w:rFonts w:eastAsia="Times New Roman"/>
          <w:szCs w:val="20"/>
        </w:rPr>
      </w:pPr>
      <w:r w:rsidRPr="009F4A07">
        <w:rPr>
          <w:rFonts w:eastAsia="Times New Roman"/>
          <w:szCs w:val="20"/>
        </w:rPr>
        <w:t>* * * * *</w:t>
      </w: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ind w:firstLine="504"/>
        <w:jc w:val="both"/>
        <w:rPr>
          <w:rFonts w:eastAsia="Times New Roman"/>
          <w:szCs w:val="20"/>
        </w:rPr>
      </w:pPr>
      <w:r w:rsidRPr="009F4A07">
        <w:rPr>
          <w:rFonts w:eastAsia="Times New Roman"/>
          <w:szCs w:val="20"/>
        </w:rPr>
        <w:t>(b)</w:t>
      </w:r>
      <w:r w:rsidRPr="009F4A07">
        <w:rPr>
          <w:rFonts w:eastAsia="Times New Roman"/>
          <w:szCs w:val="20"/>
        </w:rPr>
        <w:tab/>
        <w:t>APPLICABILITY OF RULE 12(b)-(</w:t>
      </w:r>
      <w:proofErr w:type="spellStart"/>
      <w:r w:rsidRPr="009F4A07">
        <w:rPr>
          <w:rFonts w:eastAsia="Times New Roman"/>
          <w:szCs w:val="20"/>
        </w:rPr>
        <w:t>i</w:t>
      </w:r>
      <w:proofErr w:type="spellEnd"/>
      <w:r w:rsidRPr="009F4A07">
        <w:rPr>
          <w:rFonts w:eastAsia="Times New Roman"/>
          <w:szCs w:val="20"/>
        </w:rPr>
        <w:t>) F.R.CIV.P.  Rule 12(b)-(</w:t>
      </w:r>
      <w:proofErr w:type="spellStart"/>
      <w:r w:rsidRPr="009F4A07">
        <w:rPr>
          <w:rFonts w:eastAsia="Times New Roman"/>
          <w:szCs w:val="20"/>
        </w:rPr>
        <w:t>i</w:t>
      </w:r>
      <w:proofErr w:type="spellEnd"/>
      <w:r w:rsidRPr="009F4A07">
        <w:rPr>
          <w:rFonts w:eastAsia="Times New Roman"/>
          <w:szCs w:val="20"/>
        </w:rPr>
        <w:t xml:space="preserve">) </w:t>
      </w:r>
      <w:proofErr w:type="spellStart"/>
      <w:r w:rsidRPr="009F4A07">
        <w:rPr>
          <w:rFonts w:eastAsia="Times New Roman"/>
          <w:szCs w:val="20"/>
        </w:rPr>
        <w:t>F.R.Civ.P</w:t>
      </w:r>
      <w:proofErr w:type="spellEnd"/>
      <w:r w:rsidRPr="009F4A07">
        <w:rPr>
          <w:rFonts w:eastAsia="Times New Roman"/>
          <w:szCs w:val="20"/>
        </w:rPr>
        <w:t xml:space="preserve">. </w:t>
      </w:r>
      <w:proofErr w:type="gramStart"/>
      <w:r w:rsidRPr="009F4A07">
        <w:rPr>
          <w:rFonts w:eastAsia="Times New Roman"/>
          <w:szCs w:val="20"/>
        </w:rPr>
        <w:t>applies</w:t>
      </w:r>
      <w:proofErr w:type="gramEnd"/>
      <w:r w:rsidRPr="009F4A07">
        <w:rPr>
          <w:rFonts w:eastAsia="Times New Roman"/>
          <w:szCs w:val="20"/>
        </w:rPr>
        <w:t xml:space="preserve"> in adversary proceedings.  A responsive pleading shall include a statement that the party does or does not consent to entry of final orders or judgment by the bankruptcy court. </w:t>
      </w:r>
    </w:p>
    <w:p w:rsidR="009F4A07" w:rsidRPr="009F4A07" w:rsidRDefault="009F4A07" w:rsidP="009F4A07">
      <w:pPr>
        <w:suppressLineNumbers/>
        <w:spacing w:after="0" w:line="240" w:lineRule="auto"/>
        <w:jc w:val="both"/>
        <w:rPr>
          <w:rFonts w:eastAsia="Times New Roman"/>
          <w:szCs w:val="20"/>
        </w:rPr>
        <w:sectPr w:rsidR="009F4A07" w:rsidRPr="009F4A07" w:rsidSect="00BA78F9">
          <w:headerReference w:type="default" r:id="rId27"/>
          <w:pgSz w:w="12240" w:h="15840"/>
          <w:pgMar w:top="2880" w:right="2880" w:bottom="2880" w:left="3600" w:header="2880" w:footer="1440" w:gutter="0"/>
          <w:cols w:space="720"/>
          <w:docGrid w:linePitch="326"/>
        </w:sectPr>
      </w:pPr>
      <w:r w:rsidRPr="009F4A07">
        <w:rPr>
          <w:rFonts w:eastAsia="Times New Roman"/>
          <w:szCs w:val="20"/>
        </w:rPr>
        <w:t xml:space="preserve">  </w:t>
      </w:r>
    </w:p>
    <w:p w:rsidR="009F4A07" w:rsidRPr="009F4A07" w:rsidRDefault="009F4A07" w:rsidP="009F4A07">
      <w:pPr>
        <w:suppressLineNumbers/>
        <w:spacing w:after="0" w:line="480" w:lineRule="auto"/>
        <w:jc w:val="both"/>
        <w:rPr>
          <w:rFonts w:eastAsia="Times New Roman"/>
          <w:b/>
          <w:szCs w:val="20"/>
        </w:rPr>
        <w:sectPr w:rsidR="009F4A07" w:rsidRPr="009F4A07" w:rsidSect="00D44C9A">
          <w:headerReference w:type="even" r:id="rId28"/>
          <w:headerReference w:type="default" r:id="rId29"/>
          <w:footerReference w:type="even" r:id="rId30"/>
          <w:footerReference w:type="default" r:id="rId31"/>
          <w:type w:val="continuous"/>
          <w:pgSz w:w="12240" w:h="15840"/>
          <w:pgMar w:top="2880" w:right="2880" w:bottom="2880" w:left="3600" w:header="1440" w:footer="1440" w:gutter="0"/>
          <w:lnNumType w:countBy="1" w:restart="newSection"/>
          <w:cols w:space="720"/>
          <w:docGrid w:linePitch="326"/>
        </w:sectPr>
      </w:pPr>
    </w:p>
    <w:p w:rsidR="009F4A07" w:rsidRPr="009F4A07" w:rsidRDefault="009F4A07" w:rsidP="009F4A07">
      <w:pPr>
        <w:suppressLineNumbers/>
        <w:spacing w:after="0" w:line="480" w:lineRule="auto"/>
        <w:jc w:val="both"/>
        <w:rPr>
          <w:rFonts w:eastAsia="Times New Roman"/>
          <w:b/>
          <w:szCs w:val="20"/>
        </w:rPr>
        <w:sectPr w:rsidR="009F4A07" w:rsidRPr="009F4A07" w:rsidSect="00D44C9A">
          <w:type w:val="continuous"/>
          <w:pgSz w:w="12240" w:h="15840"/>
          <w:pgMar w:top="2880" w:right="2880" w:bottom="2880" w:left="3600" w:header="1440" w:footer="1440" w:gutter="0"/>
          <w:lnNumType w:countBy="1" w:restart="newSection"/>
          <w:cols w:space="720"/>
          <w:docGrid w:linePitch="326"/>
        </w:sectPr>
      </w:pPr>
    </w:p>
    <w:p w:rsidR="009F4A07" w:rsidRPr="009F4A07" w:rsidRDefault="009F4A07" w:rsidP="009F4A07">
      <w:pPr>
        <w:spacing w:after="0" w:line="480" w:lineRule="auto"/>
        <w:jc w:val="both"/>
        <w:rPr>
          <w:rFonts w:eastAsia="Times New Roman"/>
          <w:strike/>
          <w:szCs w:val="20"/>
        </w:rPr>
      </w:pPr>
      <w:proofErr w:type="gramStart"/>
      <w:r w:rsidRPr="009F4A07">
        <w:rPr>
          <w:rFonts w:eastAsia="Times New Roman"/>
          <w:b/>
          <w:szCs w:val="20"/>
        </w:rPr>
        <w:lastRenderedPageBreak/>
        <w:t>Rule 7016.</w:t>
      </w:r>
      <w:proofErr w:type="gramEnd"/>
      <w:r w:rsidRPr="009F4A07">
        <w:rPr>
          <w:rFonts w:eastAsia="Times New Roman"/>
          <w:b/>
          <w:szCs w:val="20"/>
        </w:rPr>
        <w:t xml:space="preserve">  Pretrial Procedures</w:t>
      </w:r>
    </w:p>
    <w:p w:rsidR="009F4A07" w:rsidRPr="009F4A07" w:rsidRDefault="009F4A07" w:rsidP="009F4A07">
      <w:pPr>
        <w:tabs>
          <w:tab w:val="left" w:pos="504"/>
          <w:tab w:val="left" w:pos="900"/>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rPr>
      </w:pPr>
      <w:r w:rsidRPr="009F4A07">
        <w:rPr>
          <w:rFonts w:eastAsia="Times New Roman"/>
          <w:szCs w:val="20"/>
        </w:rPr>
        <w:tab/>
        <w:t>(a)</w:t>
      </w:r>
      <w:r w:rsidRPr="009F4A07">
        <w:rPr>
          <w:rFonts w:eastAsia="Times New Roman"/>
          <w:szCs w:val="20"/>
        </w:rPr>
        <w:tab/>
        <w:t xml:space="preserve">PRETRIAL CONFERENCES; SCHEDULING; MANAGEMENT.  Rule </w:t>
      </w:r>
      <w:proofErr w:type="gramStart"/>
      <w:r w:rsidRPr="009F4A07">
        <w:rPr>
          <w:rFonts w:eastAsia="Times New Roman"/>
          <w:szCs w:val="20"/>
        </w:rPr>
        <w:t xml:space="preserve">16 </w:t>
      </w:r>
      <w:proofErr w:type="spellStart"/>
      <w:r w:rsidRPr="009F4A07">
        <w:rPr>
          <w:rFonts w:eastAsia="Times New Roman"/>
          <w:szCs w:val="20"/>
        </w:rPr>
        <w:t>F.R.Civ.P</w:t>
      </w:r>
      <w:proofErr w:type="spellEnd"/>
      <w:proofErr w:type="gramEnd"/>
      <w:r w:rsidRPr="009F4A07">
        <w:rPr>
          <w:rFonts w:eastAsia="Times New Roman"/>
          <w:szCs w:val="20"/>
        </w:rPr>
        <w:t xml:space="preserve">. </w:t>
      </w:r>
      <w:proofErr w:type="gramStart"/>
      <w:r w:rsidRPr="009F4A07">
        <w:rPr>
          <w:rFonts w:eastAsia="Times New Roman"/>
          <w:szCs w:val="20"/>
        </w:rPr>
        <w:t>applies</w:t>
      </w:r>
      <w:proofErr w:type="gramEnd"/>
      <w:r w:rsidRPr="009F4A07">
        <w:rPr>
          <w:rFonts w:eastAsia="Times New Roman"/>
          <w:szCs w:val="20"/>
        </w:rPr>
        <w:t xml:space="preserve"> in adversary proceedings.</w:t>
      </w:r>
    </w:p>
    <w:p w:rsidR="009F4A07" w:rsidRPr="009F4A07" w:rsidRDefault="009F4A07" w:rsidP="009F4A07">
      <w:pPr>
        <w:tabs>
          <w:tab w:val="left" w:pos="504"/>
          <w:tab w:val="left" w:pos="900"/>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rPr>
      </w:pPr>
      <w:r w:rsidRPr="009F4A07">
        <w:rPr>
          <w:rFonts w:eastAsia="Times New Roman"/>
          <w:szCs w:val="20"/>
        </w:rPr>
        <w:tab/>
        <w:t>(b)</w:t>
      </w:r>
      <w:r w:rsidRPr="009F4A07">
        <w:rPr>
          <w:rFonts w:eastAsia="Times New Roman"/>
          <w:szCs w:val="20"/>
        </w:rPr>
        <w:tab/>
        <w:t xml:space="preserve">DETERMINING PROCEDURE.  The bankruptcy court shall decide, on its own motion or a party’s timely motion, whether: </w:t>
      </w: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rPr>
      </w:pPr>
      <w:r w:rsidRPr="009F4A07">
        <w:rPr>
          <w:rFonts w:eastAsia="Times New Roman"/>
          <w:szCs w:val="20"/>
        </w:rPr>
        <w:tab/>
      </w:r>
      <w:r w:rsidRPr="009F4A07">
        <w:rPr>
          <w:rFonts w:eastAsia="Times New Roman"/>
          <w:szCs w:val="20"/>
        </w:rPr>
        <w:tab/>
        <w:t>(1)</w:t>
      </w:r>
      <w:r w:rsidRPr="009F4A07">
        <w:rPr>
          <w:rFonts w:eastAsia="Times New Roman"/>
          <w:szCs w:val="20"/>
        </w:rPr>
        <w:tab/>
      </w:r>
      <w:proofErr w:type="gramStart"/>
      <w:r w:rsidRPr="009F4A07">
        <w:rPr>
          <w:rFonts w:eastAsia="Times New Roman"/>
          <w:szCs w:val="20"/>
        </w:rPr>
        <w:t>to</w:t>
      </w:r>
      <w:proofErr w:type="gramEnd"/>
      <w:r w:rsidRPr="009F4A07">
        <w:rPr>
          <w:rFonts w:eastAsia="Times New Roman"/>
          <w:szCs w:val="20"/>
        </w:rPr>
        <w:t xml:space="preserve"> hear and determine the proceeding;</w:t>
      </w:r>
    </w:p>
    <w:p w:rsidR="009F4A07" w:rsidRPr="009F4A07" w:rsidRDefault="00D94781" w:rsidP="00D94781">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rPr>
      </w:pPr>
      <w:r>
        <w:rPr>
          <w:rFonts w:eastAsia="Times New Roman"/>
          <w:szCs w:val="20"/>
        </w:rPr>
        <w:tab/>
      </w:r>
      <w:r>
        <w:rPr>
          <w:rFonts w:eastAsia="Times New Roman"/>
          <w:szCs w:val="20"/>
        </w:rPr>
        <w:tab/>
      </w:r>
      <w:r w:rsidR="009F4A07" w:rsidRPr="009F4A07">
        <w:rPr>
          <w:rFonts w:eastAsia="Times New Roman"/>
          <w:szCs w:val="20"/>
        </w:rPr>
        <w:t>(2)</w:t>
      </w:r>
      <w:r w:rsidR="009F4A07" w:rsidRPr="009F4A07">
        <w:rPr>
          <w:rFonts w:eastAsia="Times New Roman"/>
          <w:szCs w:val="20"/>
        </w:rPr>
        <w:tab/>
      </w:r>
      <w:proofErr w:type="gramStart"/>
      <w:r w:rsidR="009F4A07" w:rsidRPr="009F4A07">
        <w:rPr>
          <w:rFonts w:eastAsia="Times New Roman"/>
          <w:szCs w:val="20"/>
        </w:rPr>
        <w:t>to</w:t>
      </w:r>
      <w:proofErr w:type="gramEnd"/>
      <w:r w:rsidR="009F4A07" w:rsidRPr="009F4A07">
        <w:rPr>
          <w:rFonts w:eastAsia="Times New Roman"/>
          <w:szCs w:val="20"/>
        </w:rPr>
        <w:t xml:space="preserve"> hear the proceeding and issue proposed findings of fact and conclusions of law; or</w:t>
      </w: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u w:val="single"/>
        </w:rPr>
      </w:pPr>
      <w:r w:rsidRPr="009F4A07">
        <w:rPr>
          <w:rFonts w:eastAsia="Times New Roman"/>
          <w:szCs w:val="20"/>
        </w:rPr>
        <w:tab/>
      </w:r>
      <w:r w:rsidRPr="009F4A07">
        <w:rPr>
          <w:rFonts w:eastAsia="Times New Roman"/>
          <w:szCs w:val="20"/>
        </w:rPr>
        <w:tab/>
        <w:t xml:space="preserve">(3)  </w:t>
      </w:r>
      <w:proofErr w:type="gramStart"/>
      <w:r w:rsidRPr="009F4A07">
        <w:rPr>
          <w:rFonts w:eastAsia="Times New Roman"/>
          <w:szCs w:val="20"/>
        </w:rPr>
        <w:t>to</w:t>
      </w:r>
      <w:proofErr w:type="gramEnd"/>
      <w:r w:rsidRPr="009F4A07">
        <w:rPr>
          <w:rFonts w:eastAsia="Times New Roman"/>
          <w:szCs w:val="20"/>
        </w:rPr>
        <w:t xml:space="preserve"> take some other action.</w:t>
      </w:r>
    </w:p>
    <w:p w:rsidR="009F4A07" w:rsidRDefault="009F4A07" w:rsidP="009F4A07">
      <w:pPr>
        <w:suppressLineNumbers/>
        <w:spacing w:after="0" w:line="240" w:lineRule="auto"/>
        <w:ind w:firstLine="720"/>
        <w:jc w:val="both"/>
        <w:rPr>
          <w:rFonts w:eastAsia="Calibri"/>
          <w:lang w:val="en-CA"/>
        </w:rPr>
        <w:sectPr w:rsidR="009F4A07" w:rsidSect="009F4A07">
          <w:headerReference w:type="even" r:id="rId32"/>
          <w:headerReference w:type="default" r:id="rId33"/>
          <w:footerReference w:type="even" r:id="rId34"/>
          <w:footerReference w:type="default" r:id="rId35"/>
          <w:pgSz w:w="12240" w:h="15840"/>
          <w:pgMar w:top="2880" w:right="2880" w:bottom="2880" w:left="3600" w:header="2880" w:footer="0" w:gutter="0"/>
          <w:cols w:space="720"/>
          <w:docGrid w:linePitch="360"/>
        </w:sectPr>
      </w:pPr>
    </w:p>
    <w:p w:rsidR="003011E3" w:rsidRDefault="003011E3" w:rsidP="008A7D60">
      <w:pPr>
        <w:autoSpaceDE w:val="0"/>
        <w:autoSpaceDN w:val="0"/>
        <w:adjustRightInd w:val="0"/>
        <w:spacing w:after="240" w:line="240" w:lineRule="auto"/>
        <w:ind w:left="1267" w:hanging="1267"/>
        <w:rPr>
          <w:rFonts w:eastAsia="Calibri"/>
          <w:b/>
          <w:bCs/>
        </w:rPr>
      </w:pPr>
      <w:r w:rsidRPr="00EF6F07">
        <w:rPr>
          <w:rFonts w:eastAsia="Calibri"/>
          <w:lang w:val="en-CA"/>
        </w:rPr>
        <w:lastRenderedPageBreak/>
        <w:fldChar w:fldCharType="begin"/>
      </w:r>
      <w:r w:rsidRPr="00EF6F07">
        <w:rPr>
          <w:rFonts w:eastAsia="Calibri"/>
          <w:lang w:val="en-CA"/>
        </w:rPr>
        <w:instrText xml:space="preserve"> SEQ CHAPTER \h \r 1</w:instrText>
      </w:r>
      <w:r w:rsidRPr="00EF6F07">
        <w:rPr>
          <w:rFonts w:eastAsia="Calibri"/>
          <w:lang w:val="en-CA"/>
        </w:rPr>
        <w:fldChar w:fldCharType="end"/>
      </w:r>
      <w:proofErr w:type="gramStart"/>
      <w:r w:rsidRPr="00EF6F07">
        <w:rPr>
          <w:rFonts w:eastAsia="Calibri"/>
          <w:b/>
          <w:bCs/>
        </w:rPr>
        <w:t>Rule 9006.</w:t>
      </w:r>
      <w:proofErr w:type="gramEnd"/>
      <w:r>
        <w:rPr>
          <w:rFonts w:eastAsia="Calibri"/>
          <w:b/>
          <w:bCs/>
        </w:rPr>
        <w:tab/>
      </w:r>
      <w:r w:rsidRPr="00EF6F07">
        <w:rPr>
          <w:rFonts w:eastAsia="Calibri"/>
          <w:b/>
          <w:bCs/>
        </w:rPr>
        <w:t>Computing and Extending Time; Time for Motion Papers</w:t>
      </w:r>
    </w:p>
    <w:p w:rsidR="008A7D60" w:rsidRDefault="003011E3" w:rsidP="008A7D60">
      <w:pPr>
        <w:autoSpaceDE w:val="0"/>
        <w:autoSpaceDN w:val="0"/>
        <w:adjustRightInd w:val="0"/>
        <w:spacing w:after="240" w:line="240" w:lineRule="auto"/>
        <w:jc w:val="center"/>
        <w:rPr>
          <w:rFonts w:eastAsia="Calibri"/>
        </w:rPr>
      </w:pPr>
      <w:r w:rsidRPr="00EF6F07">
        <w:rPr>
          <w:rFonts w:eastAsia="Calibri"/>
        </w:rPr>
        <w:t>* * * * *</w:t>
      </w:r>
    </w:p>
    <w:p w:rsidR="003011E3" w:rsidRPr="00AF0F96" w:rsidRDefault="003011E3" w:rsidP="008A7D60">
      <w:pPr>
        <w:autoSpaceDE w:val="0"/>
        <w:autoSpaceDN w:val="0"/>
        <w:adjustRightInd w:val="0"/>
        <w:spacing w:after="0" w:line="480" w:lineRule="auto"/>
        <w:jc w:val="both"/>
        <w:rPr>
          <w:rFonts w:eastAsia="Calibri"/>
        </w:rPr>
      </w:pPr>
      <w:r>
        <w:rPr>
          <w:rFonts w:eastAsia="Calibri"/>
          <w:bCs/>
        </w:rPr>
        <w:tab/>
      </w:r>
      <w:r w:rsidRPr="00EF6F07">
        <w:rPr>
          <w:rFonts w:eastAsia="Calibri"/>
          <w:bCs/>
        </w:rPr>
        <w:t>(f)</w:t>
      </w:r>
      <w:r>
        <w:rPr>
          <w:rFonts w:eastAsia="Calibri"/>
          <w:bCs/>
        </w:rPr>
        <w:tab/>
      </w:r>
      <w:r w:rsidRPr="00EF6F07">
        <w:rPr>
          <w:rFonts w:eastAsia="Calibri"/>
          <w:bCs/>
        </w:rPr>
        <w:t>ADDITIONAL TIME AFTER SERVICE BY MAIL OR UNDER RULE 5(b</w:t>
      </w:r>
      <w:proofErr w:type="gramStart"/>
      <w:r w:rsidRPr="00EF6F07">
        <w:rPr>
          <w:rFonts w:eastAsia="Calibri"/>
          <w:bCs/>
        </w:rPr>
        <w:t>)(</w:t>
      </w:r>
      <w:proofErr w:type="gramEnd"/>
      <w:r w:rsidRPr="00EF6F07">
        <w:rPr>
          <w:rFonts w:eastAsia="Calibri"/>
          <w:bCs/>
        </w:rPr>
        <w:t xml:space="preserve">2)(D) OR (F) F.R.CIV.P. </w:t>
      </w:r>
      <w:r w:rsidRPr="00735576">
        <w:rPr>
          <w:rFonts w:eastAsia="Calibri"/>
          <w:bCs/>
        </w:rPr>
        <w:t xml:space="preserve"> </w:t>
      </w:r>
      <w:r w:rsidRPr="00EF6F07">
        <w:rPr>
          <w:rFonts w:eastAsia="Calibri"/>
        </w:rPr>
        <w:t xml:space="preserve">When there is a right or requirement to act or undertake some proceedings within a prescribed period after </w:t>
      </w:r>
      <w:r w:rsidRPr="00925975">
        <w:rPr>
          <w:rFonts w:eastAsia="Calibri"/>
        </w:rPr>
        <w:t>being served</w:t>
      </w:r>
      <w:r w:rsidRPr="00EF6F07">
        <w:rPr>
          <w:rFonts w:eastAsia="Calibri"/>
        </w:rPr>
        <w:t xml:space="preserve"> and that service is by mail or under Rule</w:t>
      </w:r>
      <w:r>
        <w:rPr>
          <w:rFonts w:eastAsia="Calibri"/>
        </w:rPr>
        <w:t> </w:t>
      </w:r>
      <w:r w:rsidRPr="00EF6F07">
        <w:rPr>
          <w:rFonts w:eastAsia="Calibri"/>
        </w:rPr>
        <w:t>5(b)(2)(D</w:t>
      </w:r>
      <w:r w:rsidRPr="00AF0F96">
        <w:rPr>
          <w:rFonts w:eastAsia="Calibri"/>
        </w:rPr>
        <w:t>)</w:t>
      </w:r>
      <w:r w:rsidRPr="00925975">
        <w:rPr>
          <w:rFonts w:eastAsia="Calibri"/>
        </w:rPr>
        <w:t xml:space="preserve"> (leaving with the clerk)</w:t>
      </w:r>
      <w:r w:rsidRPr="00AF0F96">
        <w:rPr>
          <w:rFonts w:eastAsia="Calibri"/>
        </w:rPr>
        <w:t xml:space="preserve"> or (F)</w:t>
      </w:r>
      <w:r w:rsidRPr="00925975">
        <w:rPr>
          <w:rFonts w:eastAsia="Calibri"/>
        </w:rPr>
        <w:t xml:space="preserve"> (other means consented to)</w:t>
      </w:r>
      <w:r w:rsidRPr="00AF0F96">
        <w:rPr>
          <w:rFonts w:eastAsia="Calibri"/>
        </w:rPr>
        <w:t xml:space="preserve"> </w:t>
      </w:r>
      <w:proofErr w:type="spellStart"/>
      <w:r w:rsidR="009B6DA0" w:rsidRPr="007F602B">
        <w:t>F.R.Civ.P</w:t>
      </w:r>
      <w:proofErr w:type="spellEnd"/>
      <w:r w:rsidR="009B6DA0" w:rsidRPr="007F602B">
        <w:t>.</w:t>
      </w:r>
      <w:r w:rsidRPr="00AF0F96">
        <w:rPr>
          <w:rFonts w:eastAsia="Calibri"/>
        </w:rPr>
        <w:t>, three days are added after the prescribed period would otherwise expire under Rule 9006(a).</w:t>
      </w:r>
    </w:p>
    <w:p w:rsidR="003011E3" w:rsidRDefault="003011E3" w:rsidP="008A7D60">
      <w:pPr>
        <w:autoSpaceDE w:val="0"/>
        <w:autoSpaceDN w:val="0"/>
        <w:adjustRightInd w:val="0"/>
        <w:spacing w:after="240" w:line="240" w:lineRule="auto"/>
        <w:ind w:left="720" w:right="720"/>
        <w:jc w:val="center"/>
        <w:rPr>
          <w:rFonts w:eastAsia="Calibri"/>
        </w:rPr>
      </w:pPr>
      <w:r w:rsidRPr="00EF6F07">
        <w:rPr>
          <w:rFonts w:eastAsia="Calibri"/>
        </w:rPr>
        <w:t>* * * * *</w:t>
      </w:r>
    </w:p>
    <w:p w:rsidR="001C56D0" w:rsidRPr="00925975" w:rsidRDefault="001C56D0" w:rsidP="001C56D0">
      <w:pPr>
        <w:suppressLineNumbers/>
        <w:spacing w:after="0" w:line="240" w:lineRule="auto"/>
        <w:ind w:firstLine="720"/>
        <w:jc w:val="both"/>
      </w:pPr>
    </w:p>
    <w:p w:rsidR="009F4A07" w:rsidRDefault="009F4A07" w:rsidP="00F41DBB">
      <w:pPr>
        <w:suppressLineNumbers/>
        <w:spacing w:after="0" w:line="240" w:lineRule="auto"/>
        <w:ind w:firstLine="720"/>
        <w:jc w:val="both"/>
        <w:rPr>
          <w:rFonts w:eastAsia="Times New Roman"/>
        </w:rPr>
        <w:sectPr w:rsidR="009F4A07" w:rsidSect="009F4A07">
          <w:headerReference w:type="default" r:id="rId36"/>
          <w:pgSz w:w="12240" w:h="15840"/>
          <w:pgMar w:top="2880" w:right="2880" w:bottom="2880" w:left="3600" w:header="2880" w:footer="0" w:gutter="0"/>
          <w:cols w:space="720"/>
          <w:docGrid w:linePitch="360"/>
        </w:sectPr>
      </w:pPr>
    </w:p>
    <w:p w:rsidR="00BA78F9" w:rsidRDefault="00BA78F9" w:rsidP="009F4A07">
      <w:pPr>
        <w:spacing w:after="0" w:line="480" w:lineRule="auto"/>
        <w:jc w:val="both"/>
        <w:rPr>
          <w:rFonts w:eastAsia="Times New Roman"/>
          <w:b/>
          <w:szCs w:val="20"/>
        </w:rPr>
        <w:sectPr w:rsidR="00BA78F9" w:rsidSect="00243D3E">
          <w:headerReference w:type="even" r:id="rId37"/>
          <w:headerReference w:type="default" r:id="rId38"/>
          <w:footerReference w:type="even" r:id="rId39"/>
          <w:footerReference w:type="default" r:id="rId40"/>
          <w:type w:val="continuous"/>
          <w:pgSz w:w="12240" w:h="15840"/>
          <w:pgMar w:top="2880" w:right="2880" w:bottom="2880" w:left="3600" w:header="2880" w:footer="1440" w:gutter="0"/>
          <w:cols w:space="720"/>
          <w:docGrid w:linePitch="326"/>
        </w:sectPr>
      </w:pPr>
    </w:p>
    <w:p w:rsidR="009F4A07" w:rsidRPr="009F4A07" w:rsidRDefault="009F4A07" w:rsidP="009F4A07">
      <w:pPr>
        <w:spacing w:after="0" w:line="480" w:lineRule="auto"/>
        <w:jc w:val="both"/>
        <w:rPr>
          <w:rFonts w:eastAsia="Times New Roman"/>
          <w:szCs w:val="20"/>
        </w:rPr>
      </w:pPr>
      <w:proofErr w:type="gramStart"/>
      <w:r w:rsidRPr="009F4A07">
        <w:rPr>
          <w:rFonts w:eastAsia="Times New Roman"/>
          <w:b/>
          <w:szCs w:val="20"/>
        </w:rPr>
        <w:lastRenderedPageBreak/>
        <w:t>Rule 9027.</w:t>
      </w:r>
      <w:proofErr w:type="gramEnd"/>
      <w:r w:rsidRPr="009F4A07">
        <w:rPr>
          <w:rFonts w:eastAsia="Times New Roman"/>
          <w:b/>
          <w:szCs w:val="20"/>
        </w:rPr>
        <w:t xml:space="preserve">  Removal</w:t>
      </w: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ind w:firstLine="504"/>
        <w:jc w:val="both"/>
        <w:rPr>
          <w:rFonts w:eastAsia="Times New Roman"/>
          <w:szCs w:val="20"/>
        </w:rPr>
      </w:pPr>
      <w:r w:rsidRPr="009F4A07">
        <w:rPr>
          <w:rFonts w:eastAsia="Times New Roman"/>
          <w:szCs w:val="20"/>
        </w:rPr>
        <w:t>(a)</w:t>
      </w:r>
      <w:r w:rsidRPr="009F4A07">
        <w:rPr>
          <w:rFonts w:eastAsia="Times New Roman"/>
          <w:szCs w:val="20"/>
        </w:rPr>
        <w:tab/>
        <w:t>NOTICE OF REMOVAL.</w:t>
      </w: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ind w:left="504" w:hanging="504"/>
        <w:jc w:val="both"/>
        <w:rPr>
          <w:rFonts w:eastAsia="Times New Roman"/>
          <w:szCs w:val="20"/>
        </w:rPr>
      </w:pPr>
      <w:r w:rsidRPr="009F4A07">
        <w:rPr>
          <w:rFonts w:eastAsia="Times New Roman"/>
          <w:szCs w:val="20"/>
        </w:rPr>
        <w:tab/>
      </w:r>
      <w:r w:rsidRPr="009F4A07">
        <w:rPr>
          <w:rFonts w:eastAsia="Times New Roman"/>
          <w:szCs w:val="20"/>
        </w:rPr>
        <w:tab/>
        <w:t>(1)</w:t>
      </w:r>
      <w:r w:rsidRPr="009F4A07">
        <w:rPr>
          <w:rFonts w:eastAsia="Times New Roman"/>
          <w:szCs w:val="20"/>
        </w:rPr>
        <w:tab/>
      </w:r>
      <w:r w:rsidRPr="009F4A07">
        <w:rPr>
          <w:rFonts w:eastAsia="Times New Roman"/>
          <w:i/>
          <w:szCs w:val="20"/>
        </w:rPr>
        <w:t>Where Filed; Form and Content</w:t>
      </w:r>
      <w:r w:rsidRPr="009F4A07">
        <w:rPr>
          <w:rFonts w:eastAsia="Times New Roman"/>
          <w:szCs w:val="20"/>
        </w:rPr>
        <w:t>.  A notice of removal shall be filed with the clerk for the district and division within which is located the state or federal court where the civil action is pending.  The notice shall be signed pursuant to Rule 9011 and contain a short and plain statement of the facts which entitle the party filing the notice to remove, contain a statement that upon removal of the claim or cause of action, the party filing the notice does or does not consent to entry of final orders or judgment by the bankruptcy court, and be accompanied by a copy of all process and pleadings.</w:t>
      </w:r>
    </w:p>
    <w:p w:rsidR="009F4A07" w:rsidRPr="009F4A07" w:rsidRDefault="009F4A07" w:rsidP="009F4A07">
      <w:pPr>
        <w:spacing w:after="0" w:line="480" w:lineRule="auto"/>
        <w:jc w:val="center"/>
        <w:rPr>
          <w:rFonts w:eastAsia="Times New Roman"/>
          <w:szCs w:val="20"/>
        </w:rPr>
      </w:pPr>
      <w:r w:rsidRPr="009F4A07">
        <w:rPr>
          <w:rFonts w:eastAsia="Times New Roman"/>
          <w:szCs w:val="20"/>
        </w:rPr>
        <w:t>* * * * *</w:t>
      </w:r>
    </w:p>
    <w:p w:rsidR="009F4A07" w:rsidRPr="009F4A07" w:rsidRDefault="009F4A07" w:rsidP="009F4A07">
      <w:pPr>
        <w:keepNext/>
        <w:keepLines/>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rPr>
      </w:pPr>
      <w:r w:rsidRPr="009F4A07">
        <w:rPr>
          <w:rFonts w:eastAsia="Times New Roman"/>
          <w:szCs w:val="20"/>
        </w:rPr>
        <w:lastRenderedPageBreak/>
        <w:tab/>
        <w:t>(e)</w:t>
      </w:r>
      <w:r w:rsidRPr="009F4A07">
        <w:rPr>
          <w:rFonts w:eastAsia="Times New Roman"/>
          <w:szCs w:val="20"/>
        </w:rPr>
        <w:tab/>
        <w:t>PROCEDURE AFTER REMOVAL.</w:t>
      </w:r>
    </w:p>
    <w:p w:rsidR="009F4A07" w:rsidRPr="009F4A07" w:rsidRDefault="009F4A07" w:rsidP="009F4A07">
      <w:pPr>
        <w:keepNext/>
        <w:keepLines/>
        <w:spacing w:after="0" w:line="480" w:lineRule="auto"/>
        <w:jc w:val="center"/>
        <w:rPr>
          <w:rFonts w:eastAsia="Times New Roman"/>
          <w:szCs w:val="20"/>
        </w:rPr>
      </w:pPr>
      <w:r w:rsidRPr="009F4A07">
        <w:rPr>
          <w:rFonts w:eastAsia="Times New Roman"/>
          <w:szCs w:val="20"/>
        </w:rPr>
        <w:t>* * * * *</w:t>
      </w: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ind w:left="504" w:hanging="504"/>
        <w:jc w:val="both"/>
        <w:rPr>
          <w:rFonts w:eastAsia="Times New Roman"/>
          <w:szCs w:val="20"/>
        </w:rPr>
      </w:pPr>
      <w:r w:rsidRPr="009F4A07">
        <w:rPr>
          <w:rFonts w:eastAsia="Times New Roman"/>
          <w:szCs w:val="20"/>
        </w:rPr>
        <w:tab/>
      </w:r>
      <w:r w:rsidRPr="009F4A07">
        <w:rPr>
          <w:rFonts w:eastAsia="Times New Roman"/>
          <w:szCs w:val="20"/>
        </w:rPr>
        <w:tab/>
        <w:t>(3)</w:t>
      </w:r>
      <w:r w:rsidRPr="009F4A07">
        <w:rPr>
          <w:rFonts w:eastAsia="Times New Roman"/>
          <w:szCs w:val="20"/>
        </w:rPr>
        <w:tab/>
        <w:t>Any party who has filed a pleading in connection with the removed claim or cause of action, other than the party filing the notice of removal, shall file a statement that the party does or does not consent to entry of final orders or judgment by the bankruptcy court.  A statement required by this paragraph shall be signed pursuant to Rule 9011 and shall be filed not later than 14 days after the filing of the notice of removal.  Any party who files a statement pursuant to this paragraph shall mail a copy to every other party to the removed claim or cause of action.</w:t>
      </w:r>
    </w:p>
    <w:p w:rsidR="009F4A07" w:rsidRPr="009F4A07" w:rsidRDefault="009F4A07" w:rsidP="009F4A07">
      <w:pPr>
        <w:spacing w:after="199" w:line="240" w:lineRule="auto"/>
        <w:jc w:val="center"/>
        <w:rPr>
          <w:rFonts w:eastAsia="Times New Roman"/>
          <w:szCs w:val="20"/>
        </w:rPr>
      </w:pPr>
      <w:r w:rsidRPr="009F4A07">
        <w:rPr>
          <w:rFonts w:eastAsia="Times New Roman"/>
          <w:szCs w:val="20"/>
        </w:rPr>
        <w:t>* * * * *</w:t>
      </w:r>
    </w:p>
    <w:p w:rsidR="009F4A07" w:rsidRDefault="009F4A07" w:rsidP="009F4A07">
      <w:pPr>
        <w:spacing w:after="0" w:line="240" w:lineRule="auto"/>
        <w:jc w:val="both"/>
        <w:rPr>
          <w:rFonts w:eastAsia="Times New Roman"/>
          <w:szCs w:val="20"/>
        </w:rPr>
        <w:sectPr w:rsidR="009F4A07" w:rsidSect="00BA78F9">
          <w:headerReference w:type="even" r:id="rId41"/>
          <w:headerReference w:type="default" r:id="rId42"/>
          <w:pgSz w:w="12240" w:h="15840"/>
          <w:pgMar w:top="2880" w:right="2880" w:bottom="2880" w:left="3600" w:header="2880" w:footer="1440" w:gutter="0"/>
          <w:cols w:space="720"/>
          <w:docGrid w:linePitch="326"/>
        </w:sectPr>
      </w:pPr>
    </w:p>
    <w:p w:rsidR="009F4A07" w:rsidRPr="009F4A07" w:rsidRDefault="009F4A07" w:rsidP="009F4A07">
      <w:pPr>
        <w:keepNext/>
        <w:keepLines/>
        <w:spacing w:after="199" w:line="240" w:lineRule="auto"/>
        <w:jc w:val="both"/>
        <w:rPr>
          <w:rFonts w:eastAsia="Times New Roman"/>
          <w:szCs w:val="20"/>
        </w:rPr>
      </w:pPr>
      <w:r w:rsidRPr="009F4A07">
        <w:rPr>
          <w:rFonts w:eastAsia="Times New Roman"/>
          <w:szCs w:val="20"/>
        </w:rPr>
        <w:lastRenderedPageBreak/>
        <w:t xml:space="preserve"> </w:t>
      </w:r>
    </w:p>
    <w:p w:rsidR="009F4A07" w:rsidRPr="009F4A07" w:rsidRDefault="009F4A07" w:rsidP="009F4A07">
      <w:pPr>
        <w:spacing w:after="199" w:line="275" w:lineRule="auto"/>
        <w:rPr>
          <w:rFonts w:eastAsia="Times New Roman"/>
          <w:szCs w:val="20"/>
        </w:rPr>
        <w:sectPr w:rsidR="009F4A07" w:rsidRPr="009F4A07" w:rsidSect="00243D3E">
          <w:type w:val="continuous"/>
          <w:pgSz w:w="12240" w:h="15840"/>
          <w:pgMar w:top="2880" w:right="2880" w:bottom="2880" w:left="3600" w:header="2880" w:footer="1440" w:gutter="0"/>
          <w:cols w:space="720"/>
          <w:docGrid w:linePitch="326"/>
        </w:sectPr>
      </w:pPr>
    </w:p>
    <w:p w:rsidR="009F4A07" w:rsidRDefault="009F4A07" w:rsidP="009F4A07">
      <w:pPr>
        <w:spacing w:after="0" w:line="240" w:lineRule="auto"/>
        <w:ind w:left="1526" w:hanging="1526"/>
        <w:jc w:val="both"/>
        <w:rPr>
          <w:rFonts w:eastAsia="Times New Roman"/>
          <w:b/>
          <w:szCs w:val="20"/>
        </w:rPr>
        <w:sectPr w:rsidR="009F4A07" w:rsidSect="009F4A07">
          <w:headerReference w:type="even" r:id="rId43"/>
          <w:headerReference w:type="default" r:id="rId44"/>
          <w:footerReference w:type="even" r:id="rId45"/>
          <w:footerReference w:type="default" r:id="rId46"/>
          <w:type w:val="continuous"/>
          <w:pgSz w:w="12240" w:h="15840"/>
          <w:pgMar w:top="2880" w:right="2880" w:bottom="2880" w:left="3600" w:header="2880" w:footer="1440" w:gutter="0"/>
          <w:cols w:space="720"/>
          <w:docGrid w:linePitch="326"/>
        </w:sectPr>
      </w:pPr>
    </w:p>
    <w:p w:rsidR="009F4A07" w:rsidRPr="009F4A07" w:rsidRDefault="009F4A07" w:rsidP="009F4A07">
      <w:pPr>
        <w:spacing w:after="0" w:line="240" w:lineRule="auto"/>
        <w:ind w:left="1526" w:hanging="1526"/>
        <w:jc w:val="both"/>
        <w:rPr>
          <w:rFonts w:eastAsia="Times New Roman"/>
          <w:szCs w:val="20"/>
        </w:rPr>
      </w:pPr>
      <w:proofErr w:type="gramStart"/>
      <w:r w:rsidRPr="009F4A07">
        <w:rPr>
          <w:rFonts w:eastAsia="Times New Roman"/>
          <w:b/>
          <w:szCs w:val="20"/>
        </w:rPr>
        <w:lastRenderedPageBreak/>
        <w:t>Rule 9033.</w:t>
      </w:r>
      <w:proofErr w:type="gramEnd"/>
      <w:r w:rsidRPr="009F4A07">
        <w:rPr>
          <w:rFonts w:eastAsia="Times New Roman"/>
          <w:b/>
          <w:szCs w:val="20"/>
        </w:rPr>
        <w:tab/>
        <w:t>Proposed Findings of Fact and Conclusions of Law</w:t>
      </w:r>
    </w:p>
    <w:p w:rsidR="009F4A07" w:rsidRPr="009F4A07" w:rsidRDefault="009F4A07" w:rsidP="009F4A07">
      <w:pPr>
        <w:suppressLineNumbers/>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240" w:lineRule="auto"/>
        <w:jc w:val="both"/>
        <w:rPr>
          <w:rFonts w:eastAsia="Times New Roman"/>
          <w:szCs w:val="20"/>
        </w:rPr>
      </w:pPr>
    </w:p>
    <w:p w:rsidR="009F4A07" w:rsidRPr="009F4A07" w:rsidRDefault="009F4A07" w:rsidP="009F4A07">
      <w:pPr>
        <w:tabs>
          <w:tab w:val="left" w:pos="504"/>
          <w:tab w:val="left" w:pos="1008"/>
          <w:tab w:val="left" w:pos="1512"/>
          <w:tab w:val="left" w:pos="2016"/>
          <w:tab w:val="left" w:pos="2520"/>
          <w:tab w:val="left" w:pos="3024"/>
          <w:tab w:val="left" w:pos="3528"/>
          <w:tab w:val="left" w:pos="4032"/>
          <w:tab w:val="left" w:pos="4536"/>
          <w:tab w:val="left" w:pos="5040"/>
          <w:tab w:val="left" w:pos="5544"/>
        </w:tabs>
        <w:spacing w:after="0" w:line="480" w:lineRule="auto"/>
        <w:jc w:val="both"/>
        <w:rPr>
          <w:rFonts w:eastAsia="Times New Roman"/>
          <w:szCs w:val="20"/>
        </w:rPr>
      </w:pPr>
      <w:r w:rsidRPr="009F4A07">
        <w:rPr>
          <w:rFonts w:eastAsia="Times New Roman"/>
          <w:szCs w:val="20"/>
        </w:rPr>
        <w:tab/>
        <w:t>(a)</w:t>
      </w:r>
      <w:r w:rsidRPr="009F4A07">
        <w:rPr>
          <w:rFonts w:eastAsia="Times New Roman"/>
          <w:szCs w:val="20"/>
        </w:rPr>
        <w:tab/>
        <w:t>SERVICE.  In a proceeding in which the bankruptcy court has issued proposed findings of fact and conclusions of law, the clerk shall serve forthwith copies on all parties by mail and note the date of mailing on the docket.</w:t>
      </w:r>
    </w:p>
    <w:p w:rsidR="009F4A07" w:rsidRPr="009F4A07" w:rsidRDefault="009F4A07" w:rsidP="009F4A07">
      <w:pPr>
        <w:spacing w:after="0" w:line="480" w:lineRule="auto"/>
        <w:jc w:val="center"/>
        <w:rPr>
          <w:rFonts w:eastAsia="Times New Roman"/>
          <w:szCs w:val="20"/>
        </w:rPr>
      </w:pPr>
      <w:r w:rsidRPr="009F4A07">
        <w:rPr>
          <w:rFonts w:eastAsia="Times New Roman"/>
          <w:szCs w:val="20"/>
        </w:rPr>
        <w:t>* * * * *</w:t>
      </w:r>
    </w:p>
    <w:p w:rsidR="009F4A07" w:rsidRPr="009F4A07" w:rsidRDefault="009F4A07" w:rsidP="009F4A07">
      <w:pPr>
        <w:suppressLineNumbers/>
        <w:spacing w:after="0" w:line="240" w:lineRule="auto"/>
        <w:jc w:val="both"/>
        <w:rPr>
          <w:rFonts w:eastAsia="Times New Roman"/>
          <w:szCs w:val="20"/>
        </w:rPr>
      </w:pPr>
    </w:p>
    <w:p w:rsidR="009F4A07" w:rsidRPr="009F4A07" w:rsidRDefault="009F4A07" w:rsidP="009F4A07">
      <w:pPr>
        <w:suppressLineNumbers/>
        <w:spacing w:after="199" w:line="240" w:lineRule="auto"/>
        <w:jc w:val="both"/>
        <w:rPr>
          <w:rFonts w:eastAsia="Times New Roman"/>
          <w:szCs w:val="20"/>
        </w:rPr>
      </w:pPr>
      <w:r w:rsidRPr="009F4A07">
        <w:rPr>
          <w:rFonts w:eastAsia="Times New Roman"/>
          <w:szCs w:val="20"/>
        </w:rPr>
        <w:t xml:space="preserve"> </w:t>
      </w:r>
    </w:p>
    <w:p w:rsidR="001C56D0" w:rsidRPr="00925975" w:rsidRDefault="001C56D0" w:rsidP="00F41DBB">
      <w:pPr>
        <w:suppressLineNumbers/>
        <w:spacing w:after="0" w:line="240" w:lineRule="auto"/>
        <w:ind w:firstLine="720"/>
        <w:jc w:val="both"/>
        <w:rPr>
          <w:rFonts w:eastAsia="Times New Roman"/>
        </w:rPr>
      </w:pPr>
    </w:p>
    <w:sectPr w:rsidR="001C56D0" w:rsidRPr="00925975" w:rsidSect="009F4A07">
      <w:headerReference w:type="even" r:id="rId47"/>
      <w:pgSz w:w="12240" w:h="15840"/>
      <w:pgMar w:top="2880" w:right="2880" w:bottom="2880" w:left="3600" w:header="288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0B" w:rsidRDefault="00AA350B" w:rsidP="003A133F">
      <w:pPr>
        <w:spacing w:after="0" w:line="240" w:lineRule="auto"/>
      </w:pPr>
      <w:r>
        <w:separator/>
      </w:r>
    </w:p>
  </w:endnote>
  <w:endnote w:type="continuationSeparator" w:id="0">
    <w:p w:rsidR="00AA350B" w:rsidRDefault="00AA350B" w:rsidP="003A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14" w:rsidRDefault="006D0B14">
    <w:pPr>
      <w:pStyle w:val="Footer"/>
      <w:jc w:val="center"/>
    </w:pPr>
  </w:p>
  <w:p w:rsidR="006D0B14" w:rsidRDefault="006D0B1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71" w:rsidRDefault="0035390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71" w:rsidRDefault="00353907">
    <w:pPr>
      <w:spacing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14" w:rsidRDefault="006D0B14">
    <w:pPr>
      <w:pStyle w:val="Footer"/>
      <w:jc w:val="center"/>
    </w:pPr>
  </w:p>
  <w:p w:rsidR="006D0B14" w:rsidRDefault="006D0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E6" w:rsidRDefault="00070AE6">
    <w:pPr>
      <w:pStyle w:val="Footer"/>
      <w:jc w:val="center"/>
    </w:pPr>
  </w:p>
  <w:p w:rsidR="00070AE6" w:rsidRDefault="00070A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73" w:rsidRDefault="00C82973">
    <w:pPr>
      <w:pStyle w:val="Footer"/>
      <w:jc w:val="center"/>
    </w:pPr>
  </w:p>
  <w:p w:rsidR="00C82973" w:rsidRDefault="00C8297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73" w:rsidRDefault="00C82973">
    <w:pPr>
      <w:pStyle w:val="Footer"/>
      <w:jc w:val="center"/>
    </w:pPr>
  </w:p>
  <w:p w:rsidR="00C82973" w:rsidRDefault="00C8297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0B" w:rsidRDefault="00AA350B" w:rsidP="003A133F">
      <w:pPr>
        <w:spacing w:after="0" w:line="240" w:lineRule="auto"/>
      </w:pPr>
      <w:r>
        <w:separator/>
      </w:r>
    </w:p>
  </w:footnote>
  <w:footnote w:type="continuationSeparator" w:id="0">
    <w:p w:rsidR="00AA350B" w:rsidRDefault="00AA350B" w:rsidP="003A1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3E" w:rsidRPr="0050233E" w:rsidRDefault="0050233E" w:rsidP="0050233E">
    <w:pPr>
      <w:pStyle w:val="Header"/>
      <w:spacing w:after="240"/>
      <w:rPr>
        <w:sz w:val="22"/>
        <w:szCs w:val="22"/>
      </w:rPr>
    </w:pPr>
    <w:r w:rsidRPr="0050233E">
      <w:rPr>
        <w:sz w:val="22"/>
        <w:szCs w:val="22"/>
      </w:rPr>
      <w:fldChar w:fldCharType="begin"/>
    </w:r>
    <w:r w:rsidRPr="0050233E">
      <w:rPr>
        <w:sz w:val="22"/>
        <w:szCs w:val="22"/>
      </w:rPr>
      <w:instrText xml:space="preserve"> PAGE   \* MERGEFORMAT </w:instrText>
    </w:r>
    <w:r w:rsidRPr="0050233E">
      <w:rPr>
        <w:sz w:val="22"/>
        <w:szCs w:val="22"/>
      </w:rPr>
      <w:fldChar w:fldCharType="separate"/>
    </w:r>
    <w:r w:rsidR="006E0ED0">
      <w:rPr>
        <w:noProof/>
        <w:sz w:val="22"/>
        <w:szCs w:val="22"/>
      </w:rPr>
      <w:t>3</w:t>
    </w:r>
    <w:r w:rsidRPr="0050233E">
      <w:rPr>
        <w:noProof/>
        <w:sz w:val="22"/>
        <w:szCs w:val="22"/>
      </w:rPr>
      <w:fldChar w:fldCharType="end"/>
    </w:r>
    <w:r w:rsidRPr="0050233E">
      <w:rPr>
        <w:noProof/>
        <w:sz w:val="22"/>
        <w:szCs w:val="22"/>
      </w:rPr>
      <w:t xml:space="preserve">    </w:t>
    </w:r>
    <w:r>
      <w:rPr>
        <w:noProof/>
        <w:sz w:val="22"/>
        <w:szCs w:val="22"/>
      </w:rPr>
      <w:t xml:space="preserve"> FEDERAL RULES OF BANKRUPTCY PROCEDURE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172682">
    <w:pPr>
      <w:pStyle w:val="Header"/>
      <w:tabs>
        <w:tab w:val="clear" w:pos="4680"/>
      </w:tabs>
      <w:rPr>
        <w:noProof/>
        <w:sz w:val="22"/>
        <w:szCs w:val="22"/>
      </w:rPr>
    </w:pPr>
    <w:r>
      <w:rPr>
        <w:sz w:val="22"/>
        <w:szCs w:val="22"/>
      </w:rPr>
      <w:t xml:space="preserve">    </w:t>
    </w: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sidR="006E0ED0">
      <w:rPr>
        <w:noProof/>
        <w:sz w:val="22"/>
        <w:szCs w:val="22"/>
      </w:rPr>
      <w:t>9</w:t>
    </w:r>
    <w:r w:rsidRPr="007E7C9F">
      <w:rPr>
        <w:noProof/>
        <w:sz w:val="22"/>
        <w:szCs w:val="22"/>
      </w:rPr>
      <w:fldChar w:fldCharType="end"/>
    </w:r>
  </w:p>
  <w:p w:rsidR="009F4A07" w:rsidRDefault="009F4A0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021F83" w:rsidRDefault="00021F83" w:rsidP="00021F83">
    <w:pPr>
      <w:pStyle w:val="Header"/>
      <w:spacing w:after="480"/>
      <w:rPr>
        <w:sz w:val="22"/>
        <w:szCs w:val="22"/>
      </w:rPr>
    </w:pPr>
    <w:r>
      <w:rPr>
        <w:sz w:val="22"/>
        <w:szCs w:val="22"/>
      </w:rPr>
      <w:t xml:space="preserve">    </w:t>
    </w:r>
    <w:r w:rsidRPr="00021F83">
      <w:rPr>
        <w:sz w:val="22"/>
        <w:szCs w:val="22"/>
      </w:rPr>
      <w:t xml:space="preserve">FEDERAL RULES OF BANKRUPTCY PROCEDURE </w:t>
    </w:r>
    <w:r>
      <w:rPr>
        <w:sz w:val="22"/>
        <w:szCs w:val="22"/>
      </w:rPr>
      <w:t xml:space="preserve">   </w:t>
    </w:r>
    <w:r w:rsidRPr="00021F83">
      <w:rPr>
        <w:sz w:val="22"/>
        <w:szCs w:val="22"/>
      </w:rPr>
      <w:t xml:space="preserve"> </w:t>
    </w:r>
    <w:r w:rsidRPr="00021F83">
      <w:rPr>
        <w:sz w:val="22"/>
        <w:szCs w:val="22"/>
      </w:rPr>
      <w:fldChar w:fldCharType="begin"/>
    </w:r>
    <w:r w:rsidRPr="00021F83">
      <w:rPr>
        <w:sz w:val="22"/>
        <w:szCs w:val="22"/>
      </w:rPr>
      <w:instrText xml:space="preserve"> PAGE   \* MERGEFORMAT </w:instrText>
    </w:r>
    <w:r w:rsidRPr="00021F83">
      <w:rPr>
        <w:sz w:val="22"/>
        <w:szCs w:val="22"/>
      </w:rPr>
      <w:fldChar w:fldCharType="separate"/>
    </w:r>
    <w:r>
      <w:rPr>
        <w:noProof/>
        <w:sz w:val="22"/>
        <w:szCs w:val="22"/>
      </w:rPr>
      <w:t>7</w:t>
    </w:r>
    <w:r w:rsidRPr="00021F83">
      <w:rPr>
        <w:noProof/>
        <w:sz w:val="22"/>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BA78F9">
    <w:pPr>
      <w:pStyle w:val="Header"/>
      <w:spacing w:after="480"/>
    </w:pPr>
    <w:r w:rsidRPr="004D202A">
      <w:rPr>
        <w:sz w:val="22"/>
        <w:szCs w:val="22"/>
      </w:rPr>
      <w:fldChar w:fldCharType="begin"/>
    </w:r>
    <w:r w:rsidRPr="004D202A">
      <w:rPr>
        <w:sz w:val="22"/>
        <w:szCs w:val="22"/>
      </w:rPr>
      <w:instrText xml:space="preserve"> PAGE   \* MERGEFORMAT </w:instrText>
    </w:r>
    <w:r w:rsidRPr="004D202A">
      <w:rPr>
        <w:sz w:val="22"/>
        <w:szCs w:val="22"/>
      </w:rPr>
      <w:fldChar w:fldCharType="separate"/>
    </w:r>
    <w:r w:rsidR="00021F83">
      <w:rPr>
        <w:noProof/>
        <w:sz w:val="22"/>
        <w:szCs w:val="22"/>
      </w:rPr>
      <w:t>8</w:t>
    </w:r>
    <w:r w:rsidRPr="004D202A">
      <w:rPr>
        <w:noProof/>
        <w:sz w:val="22"/>
        <w:szCs w:val="22"/>
      </w:rPr>
      <w:fldChar w:fldCharType="end"/>
    </w:r>
    <w:r w:rsidRPr="004D202A">
      <w:rPr>
        <w:noProof/>
        <w:sz w:val="22"/>
        <w:szCs w:val="22"/>
      </w:rPr>
      <w:t xml:space="preserve">  </w:t>
    </w:r>
    <w:r>
      <w:rPr>
        <w:noProof/>
        <w:sz w:val="22"/>
        <w:szCs w:val="22"/>
      </w:rPr>
      <w:t xml:space="preserve">   </w:t>
    </w:r>
    <w:r w:rsidRPr="004D202A">
      <w:rPr>
        <w:noProof/>
        <w:sz w:val="22"/>
        <w:szCs w:val="22"/>
      </w:rPr>
      <w:t>FEDERAL RULES OF BANKRUPTCY PROCEDURE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9F4A07">
    <w:pPr>
      <w:pStyle w:val="Header"/>
      <w:spacing w:after="480"/>
    </w:pPr>
    <w:r w:rsidRPr="007E7C9F">
      <w:rPr>
        <w:sz w:val="22"/>
        <w:szCs w:val="22"/>
      </w:rPr>
      <w:t xml:space="preserve">  </w:t>
    </w:r>
    <w:r>
      <w:rPr>
        <w:sz w:val="22"/>
        <w:szCs w:val="22"/>
      </w:rPr>
      <w:t xml:space="preserve"> </w:t>
    </w: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sidR="006932DF">
      <w:rPr>
        <w:noProof/>
        <w:sz w:val="22"/>
        <w:szCs w:val="22"/>
      </w:rPr>
      <w:t>9</w:t>
    </w:r>
    <w:r w:rsidRPr="007E7C9F">
      <w:rPr>
        <w:noProof/>
        <w:sz w:val="22"/>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Default="006932DF" w:rsidP="009F4A07">
    <w:pPr>
      <w:pStyle w:val="Header"/>
      <w:spacing w:after="480"/>
    </w:pPr>
    <w:r w:rsidRPr="007E7C9F">
      <w:rPr>
        <w:sz w:val="22"/>
        <w:szCs w:val="22"/>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DF263F">
    <w:pPr>
      <w:pStyle w:val="Header"/>
      <w:tabs>
        <w:tab w:val="clear" w:pos="4680"/>
      </w:tabs>
      <w:rPr>
        <w:noProof/>
        <w:sz w:val="22"/>
        <w:szCs w:val="22"/>
      </w:rPr>
    </w:pPr>
    <w:r>
      <w:rPr>
        <w:sz w:val="22"/>
        <w:szCs w:val="22"/>
      </w:rPr>
      <w:t xml:space="preserve">    </w:t>
    </w: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Pr>
        <w:noProof/>
        <w:sz w:val="22"/>
        <w:szCs w:val="22"/>
      </w:rPr>
      <w:t>5</w:t>
    </w:r>
    <w:r w:rsidRPr="007E7C9F">
      <w:rPr>
        <w:noProof/>
        <w:sz w:val="22"/>
        <w:szCs w:val="22"/>
      </w:rPr>
      <w:fldChar w:fldCharType="end"/>
    </w:r>
  </w:p>
  <w:p w:rsidR="009F4A07" w:rsidRDefault="009F4A07" w:rsidP="00DF263F">
    <w:pPr>
      <w:pStyle w:val="Header"/>
      <w:tabs>
        <w:tab w:val="clear" w:pos="4680"/>
      </w:tabs>
      <w:rPr>
        <w:noProof/>
        <w:sz w:val="22"/>
        <w:szCs w:val="22"/>
      </w:rPr>
    </w:pPr>
  </w:p>
  <w:p w:rsidR="009F4A07" w:rsidRPr="00DF263F" w:rsidRDefault="009F4A07" w:rsidP="00DF263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Pr="006932DF" w:rsidRDefault="00021F83" w:rsidP="00021F83">
    <w:pPr>
      <w:pStyle w:val="Header"/>
      <w:spacing w:after="480"/>
    </w:pPr>
    <w:r w:rsidRPr="004D202A">
      <w:rPr>
        <w:sz w:val="22"/>
        <w:szCs w:val="22"/>
      </w:rPr>
      <w:fldChar w:fldCharType="begin"/>
    </w:r>
    <w:r w:rsidRPr="004D202A">
      <w:rPr>
        <w:sz w:val="22"/>
        <w:szCs w:val="22"/>
      </w:rPr>
      <w:instrText xml:space="preserve"> PAGE   \* MERGEFORMAT </w:instrText>
    </w:r>
    <w:r w:rsidRPr="004D202A">
      <w:rPr>
        <w:sz w:val="22"/>
        <w:szCs w:val="22"/>
      </w:rPr>
      <w:fldChar w:fldCharType="separate"/>
    </w:r>
    <w:r>
      <w:rPr>
        <w:noProof/>
        <w:sz w:val="22"/>
        <w:szCs w:val="22"/>
      </w:rPr>
      <w:t>10</w:t>
    </w:r>
    <w:r w:rsidRPr="004D202A">
      <w:rPr>
        <w:noProof/>
        <w:sz w:val="22"/>
        <w:szCs w:val="22"/>
      </w:rPr>
      <w:fldChar w:fldCharType="end"/>
    </w:r>
    <w:r w:rsidRPr="004D202A">
      <w:rPr>
        <w:noProof/>
        <w:sz w:val="22"/>
        <w:szCs w:val="22"/>
      </w:rPr>
      <w:t xml:space="preserve">  </w:t>
    </w:r>
    <w:r>
      <w:rPr>
        <w:noProof/>
        <w:sz w:val="22"/>
        <w:szCs w:val="22"/>
      </w:rPr>
      <w:t xml:space="preserve">   </w:t>
    </w:r>
    <w:r w:rsidRPr="004D202A">
      <w:rPr>
        <w:noProof/>
        <w:sz w:val="22"/>
        <w:szCs w:val="22"/>
      </w:rPr>
      <w:t>FEDERAL RULES OF BANKRUPTCY PROCEDURE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0A" w:rsidRDefault="00F43C0A" w:rsidP="00F43C0A">
    <w:pPr>
      <w:pStyle w:val="Header"/>
      <w:spacing w:after="480"/>
    </w:pPr>
    <w:r w:rsidRPr="007E7C9F">
      <w:rPr>
        <w:sz w:val="22"/>
        <w:szCs w:val="22"/>
      </w:rPr>
      <w:t xml:space="preserve">  </w:t>
    </w:r>
    <w:r>
      <w:rPr>
        <w:sz w:val="22"/>
        <w:szCs w:val="22"/>
      </w:rPr>
      <w:t xml:space="preserve"> </w:t>
    </w: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sidR="00021F83">
      <w:rPr>
        <w:noProof/>
        <w:sz w:val="22"/>
        <w:szCs w:val="22"/>
      </w:rPr>
      <w:t>9</w:t>
    </w:r>
    <w:r w:rsidRPr="007E7C9F">
      <w:rPr>
        <w:noProof/>
        <w:sz w:val="22"/>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6932DF" w:rsidRDefault="006932DF" w:rsidP="00693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E6" w:rsidRDefault="008002FB" w:rsidP="002630B3">
    <w:pPr>
      <w:pStyle w:val="Header"/>
      <w:spacing w:after="480"/>
      <w:rPr>
        <w:noProof/>
        <w:sz w:val="22"/>
        <w:szCs w:val="22"/>
      </w:rPr>
    </w:pPr>
    <w:r>
      <w:rPr>
        <w:noProof/>
        <w:sz w:val="22"/>
        <w:szCs w:val="22"/>
      </w:rPr>
      <w:t xml:space="preserve">   FEDERAL RULES OF BANKRUPTCY PROCEDURE   </w:t>
    </w:r>
    <w:r w:rsidRPr="008002FB">
      <w:rPr>
        <w:noProof/>
        <w:sz w:val="22"/>
        <w:szCs w:val="22"/>
      </w:rPr>
      <w:fldChar w:fldCharType="begin"/>
    </w:r>
    <w:r w:rsidRPr="008002FB">
      <w:rPr>
        <w:noProof/>
        <w:sz w:val="22"/>
        <w:szCs w:val="22"/>
      </w:rPr>
      <w:instrText xml:space="preserve"> PAGE   \* MERGEFORMAT </w:instrText>
    </w:r>
    <w:r w:rsidRPr="008002FB">
      <w:rPr>
        <w:noProof/>
        <w:sz w:val="22"/>
        <w:szCs w:val="22"/>
      </w:rPr>
      <w:fldChar w:fldCharType="separate"/>
    </w:r>
    <w:r w:rsidR="00021F83">
      <w:rPr>
        <w:noProof/>
        <w:sz w:val="22"/>
        <w:szCs w:val="22"/>
      </w:rPr>
      <w:t>4</w:t>
    </w:r>
    <w:r w:rsidRPr="008002FB">
      <w:rPr>
        <w:noProof/>
        <w:sz w:val="22"/>
        <w:szCs w:val="22"/>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9F4A07">
    <w:pPr>
      <w:pStyle w:val="Header"/>
      <w:spacing w:after="480"/>
      <w:rPr>
        <w:noProof/>
        <w:sz w:val="22"/>
        <w:szCs w:val="22"/>
      </w:rPr>
    </w:pPr>
    <w:r w:rsidRPr="004D202A">
      <w:rPr>
        <w:sz w:val="22"/>
        <w:szCs w:val="22"/>
      </w:rPr>
      <w:fldChar w:fldCharType="begin"/>
    </w:r>
    <w:r w:rsidRPr="004D202A">
      <w:rPr>
        <w:sz w:val="22"/>
        <w:szCs w:val="22"/>
      </w:rPr>
      <w:instrText xml:space="preserve"> PAGE   \* MERGEFORMAT </w:instrText>
    </w:r>
    <w:r w:rsidRPr="004D202A">
      <w:rPr>
        <w:sz w:val="22"/>
        <w:szCs w:val="22"/>
      </w:rPr>
      <w:fldChar w:fldCharType="separate"/>
    </w:r>
    <w:r w:rsidR="006932DF">
      <w:rPr>
        <w:noProof/>
        <w:sz w:val="22"/>
        <w:szCs w:val="22"/>
      </w:rPr>
      <w:t>12</w:t>
    </w:r>
    <w:r w:rsidRPr="004D202A">
      <w:rPr>
        <w:noProof/>
        <w:sz w:val="22"/>
        <w:szCs w:val="22"/>
      </w:rPr>
      <w:fldChar w:fldCharType="end"/>
    </w:r>
    <w:r w:rsidRPr="004D202A">
      <w:rPr>
        <w:noProof/>
        <w:sz w:val="22"/>
        <w:szCs w:val="22"/>
      </w:rPr>
      <w:t xml:space="preserve">  </w:t>
    </w:r>
    <w:r>
      <w:rPr>
        <w:noProof/>
        <w:sz w:val="22"/>
        <w:szCs w:val="22"/>
      </w:rPr>
      <w:t xml:space="preserve"> </w:t>
    </w:r>
    <w:r w:rsidRPr="004D202A">
      <w:rPr>
        <w:noProof/>
        <w:sz w:val="22"/>
        <w:szCs w:val="22"/>
      </w:rPr>
      <w:t>FEDERAL RULES OF BANKRUPTCY PROCEDURE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BA78F9">
    <w:pPr>
      <w:pStyle w:val="Header"/>
      <w:tabs>
        <w:tab w:val="clear" w:pos="4680"/>
      </w:tabs>
      <w:spacing w:after="480"/>
    </w:pP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sidR="006932DF">
      <w:rPr>
        <w:noProof/>
        <w:sz w:val="22"/>
        <w:szCs w:val="22"/>
      </w:rPr>
      <w:t>13</w:t>
    </w:r>
    <w:r w:rsidRPr="007E7C9F">
      <w:rPr>
        <w:noProof/>
        <w:sz w:val="22"/>
        <w:szCs w:val="22"/>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6932DF" w:rsidRDefault="00021F83" w:rsidP="00021F83">
    <w:pPr>
      <w:pStyle w:val="Header"/>
      <w:spacing w:after="480"/>
    </w:pPr>
    <w:r w:rsidRPr="004D202A">
      <w:rPr>
        <w:sz w:val="22"/>
        <w:szCs w:val="22"/>
      </w:rPr>
      <w:fldChar w:fldCharType="begin"/>
    </w:r>
    <w:r w:rsidRPr="004D202A">
      <w:rPr>
        <w:sz w:val="22"/>
        <w:szCs w:val="22"/>
      </w:rPr>
      <w:instrText xml:space="preserve"> PAGE   \* MERGEFORMAT </w:instrText>
    </w:r>
    <w:r w:rsidRPr="004D202A">
      <w:rPr>
        <w:sz w:val="22"/>
        <w:szCs w:val="22"/>
      </w:rPr>
      <w:fldChar w:fldCharType="separate"/>
    </w:r>
    <w:r>
      <w:rPr>
        <w:noProof/>
        <w:sz w:val="22"/>
        <w:szCs w:val="22"/>
      </w:rPr>
      <w:t>12</w:t>
    </w:r>
    <w:r w:rsidRPr="004D202A">
      <w:rPr>
        <w:noProof/>
        <w:sz w:val="22"/>
        <w:szCs w:val="22"/>
      </w:rPr>
      <w:fldChar w:fldCharType="end"/>
    </w:r>
    <w:r w:rsidRPr="004D202A">
      <w:rPr>
        <w:noProof/>
        <w:sz w:val="22"/>
        <w:szCs w:val="22"/>
      </w:rPr>
      <w:t xml:space="preserve">  </w:t>
    </w:r>
    <w:r>
      <w:rPr>
        <w:noProof/>
        <w:sz w:val="22"/>
        <w:szCs w:val="22"/>
      </w:rPr>
      <w:t xml:space="preserve">   </w:t>
    </w:r>
    <w:r w:rsidRPr="004D202A">
      <w:rPr>
        <w:noProof/>
        <w:sz w:val="22"/>
        <w:szCs w:val="22"/>
      </w:rPr>
      <w:t>FEDERAL RULES OF BANKRUPTCY PROCEDURE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6932DF" w:rsidRDefault="00021F83" w:rsidP="00021F83">
    <w:pPr>
      <w:pStyle w:val="Header"/>
      <w:spacing w:after="480"/>
    </w:pPr>
    <w:r w:rsidRPr="007E7C9F">
      <w:rPr>
        <w:sz w:val="22"/>
        <w:szCs w:val="22"/>
      </w:rPr>
      <w:t xml:space="preserve">  </w:t>
    </w:r>
    <w:r>
      <w:rPr>
        <w:sz w:val="22"/>
        <w:szCs w:val="22"/>
      </w:rPr>
      <w:t xml:space="preserve"> </w:t>
    </w: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Pr>
        <w:noProof/>
        <w:sz w:val="22"/>
        <w:szCs w:val="22"/>
      </w:rPr>
      <w:t>11</w:t>
    </w:r>
    <w:r w:rsidRPr="007E7C9F">
      <w:rPr>
        <w:noProof/>
        <w:sz w:val="22"/>
        <w:szCs w:val="22"/>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71" w:rsidRDefault="00F43C0A" w:rsidP="009F4A07">
    <w:pPr>
      <w:pStyle w:val="Header"/>
      <w:spacing w:after="480"/>
    </w:pPr>
    <w:r w:rsidRPr="004D202A">
      <w:rPr>
        <w:sz w:val="22"/>
        <w:szCs w:val="22"/>
      </w:rPr>
      <w:fldChar w:fldCharType="begin"/>
    </w:r>
    <w:r w:rsidRPr="004D202A">
      <w:rPr>
        <w:sz w:val="22"/>
        <w:szCs w:val="22"/>
      </w:rPr>
      <w:instrText xml:space="preserve"> PAGE   \* MERGEFORMAT </w:instrText>
    </w:r>
    <w:r w:rsidRPr="004D202A">
      <w:rPr>
        <w:sz w:val="22"/>
        <w:szCs w:val="22"/>
      </w:rPr>
      <w:fldChar w:fldCharType="separate"/>
    </w:r>
    <w:r w:rsidR="006932DF">
      <w:rPr>
        <w:noProof/>
        <w:sz w:val="22"/>
        <w:szCs w:val="22"/>
      </w:rPr>
      <w:t>14</w:t>
    </w:r>
    <w:r w:rsidRPr="004D202A">
      <w:rPr>
        <w:noProof/>
        <w:sz w:val="22"/>
        <w:szCs w:val="22"/>
      </w:rPr>
      <w:fldChar w:fldCharType="end"/>
    </w:r>
    <w:r w:rsidRPr="004D202A">
      <w:rPr>
        <w:noProof/>
        <w:sz w:val="22"/>
        <w:szCs w:val="22"/>
      </w:rPr>
      <w:t xml:space="preserve">  </w:t>
    </w:r>
    <w:r>
      <w:rPr>
        <w:noProof/>
        <w:sz w:val="22"/>
        <w:szCs w:val="22"/>
      </w:rPr>
      <w:t xml:space="preserve"> </w:t>
    </w:r>
    <w:r w:rsidRPr="004D202A">
      <w:rPr>
        <w:noProof/>
        <w:sz w:val="22"/>
        <w:szCs w:val="22"/>
      </w:rPr>
      <w:t>FEDERAL RULES OF BANKRUPTCY PROCEDURE</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71" w:rsidRDefault="00021F83" w:rsidP="00021F83">
    <w:pPr>
      <w:spacing w:after="480" w:line="240" w:lineRule="auto"/>
    </w:pPr>
    <w:r w:rsidRPr="007E7C9F">
      <w:rPr>
        <w:sz w:val="22"/>
        <w:szCs w:val="22"/>
      </w:rPr>
      <w:t>FEDERAL RULES OF BANKRUPTCY PROCEDURE</w:t>
    </w:r>
    <w:r>
      <w:rPr>
        <w:sz w:val="22"/>
        <w:szCs w:val="22"/>
      </w:rPr>
      <w:t xml:space="preserve">      </w:t>
    </w:r>
    <w:r w:rsidRPr="007E7C9F">
      <w:rPr>
        <w:sz w:val="22"/>
        <w:szCs w:val="22"/>
      </w:rPr>
      <w:fldChar w:fldCharType="begin"/>
    </w:r>
    <w:r w:rsidRPr="007E7C9F">
      <w:rPr>
        <w:sz w:val="22"/>
        <w:szCs w:val="22"/>
      </w:rPr>
      <w:instrText xml:space="preserve"> PAGE   \* MERGEFORMAT </w:instrText>
    </w:r>
    <w:r w:rsidRPr="007E7C9F">
      <w:rPr>
        <w:sz w:val="22"/>
        <w:szCs w:val="22"/>
      </w:rPr>
      <w:fldChar w:fldCharType="separate"/>
    </w:r>
    <w:r>
      <w:rPr>
        <w:noProof/>
        <w:sz w:val="22"/>
        <w:szCs w:val="22"/>
      </w:rPr>
      <w:t>13</w:t>
    </w:r>
    <w:r w:rsidRPr="007E7C9F">
      <w:rPr>
        <w:noProof/>
        <w:sz w:val="22"/>
        <w:szCs w:val="22"/>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6932DF" w:rsidRDefault="006932DF" w:rsidP="006932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A78F9" w:rsidP="00021F83">
    <w:pPr>
      <w:pStyle w:val="Header"/>
      <w:spacing w:after="480"/>
    </w:pPr>
    <w:r w:rsidRPr="0050233E">
      <w:rPr>
        <w:sz w:val="22"/>
        <w:szCs w:val="22"/>
      </w:rPr>
      <w:t xml:space="preserve">   </w:t>
    </w:r>
    <w:r w:rsidR="00021F83" w:rsidRPr="00021F83">
      <w:rPr>
        <w:sz w:val="22"/>
        <w:szCs w:val="22"/>
      </w:rPr>
      <w:fldChar w:fldCharType="begin"/>
    </w:r>
    <w:r w:rsidR="00021F83" w:rsidRPr="00021F83">
      <w:rPr>
        <w:sz w:val="22"/>
        <w:szCs w:val="22"/>
      </w:rPr>
      <w:instrText xml:space="preserve"> PAGE   \* MERGEFORMAT </w:instrText>
    </w:r>
    <w:r w:rsidR="00021F83" w:rsidRPr="00021F83">
      <w:rPr>
        <w:sz w:val="22"/>
        <w:szCs w:val="22"/>
      </w:rPr>
      <w:fldChar w:fldCharType="separate"/>
    </w:r>
    <w:r w:rsidR="00021F83">
      <w:rPr>
        <w:noProof/>
        <w:sz w:val="22"/>
        <w:szCs w:val="22"/>
      </w:rPr>
      <w:t>2</w:t>
    </w:r>
    <w:r w:rsidR="00021F83" w:rsidRPr="00021F83">
      <w:rPr>
        <w:noProof/>
        <w:sz w:val="22"/>
        <w:szCs w:val="22"/>
      </w:rPr>
      <w:fldChar w:fldCharType="end"/>
    </w:r>
    <w:r w:rsidR="00021F83">
      <w:rPr>
        <w:noProof/>
        <w:sz w:val="22"/>
        <w:szCs w:val="22"/>
      </w:rPr>
      <w:t xml:space="preserve">   FEDERAL RULES OF BANKRUPTCY PROCEDURE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3E" w:rsidRPr="00021F83" w:rsidRDefault="00021F83" w:rsidP="0050233E">
    <w:pPr>
      <w:pStyle w:val="Header"/>
      <w:spacing w:after="480"/>
      <w:rPr>
        <w:sz w:val="22"/>
        <w:szCs w:val="22"/>
      </w:rPr>
    </w:pPr>
    <w:r>
      <w:t xml:space="preserve">     </w:t>
    </w:r>
    <w:r w:rsidRPr="00021F83">
      <w:rPr>
        <w:sz w:val="22"/>
        <w:szCs w:val="22"/>
      </w:rPr>
      <w:t xml:space="preserve">FEDERAL RULES OF BANKRUPTCY PROCEDURE </w:t>
    </w:r>
    <w:r>
      <w:rPr>
        <w:sz w:val="22"/>
        <w:szCs w:val="22"/>
      </w:rPr>
      <w:t xml:space="preserve">  </w:t>
    </w:r>
    <w:r w:rsidRPr="00021F83">
      <w:rPr>
        <w:sz w:val="22"/>
        <w:szCs w:val="22"/>
      </w:rPr>
      <w:t xml:space="preserve"> </w:t>
    </w:r>
    <w:r w:rsidRPr="00021F83">
      <w:rPr>
        <w:sz w:val="22"/>
        <w:szCs w:val="22"/>
      </w:rPr>
      <w:fldChar w:fldCharType="begin"/>
    </w:r>
    <w:r w:rsidRPr="00021F83">
      <w:rPr>
        <w:sz w:val="22"/>
        <w:szCs w:val="22"/>
      </w:rPr>
      <w:instrText xml:space="preserve"> PAGE   \* MERGEFORMAT </w:instrText>
    </w:r>
    <w:r w:rsidRPr="00021F83">
      <w:rPr>
        <w:sz w:val="22"/>
        <w:szCs w:val="22"/>
      </w:rPr>
      <w:fldChar w:fldCharType="separate"/>
    </w:r>
    <w:r>
      <w:rPr>
        <w:noProof/>
        <w:sz w:val="22"/>
        <w:szCs w:val="22"/>
      </w:rPr>
      <w:t>3</w:t>
    </w:r>
    <w:r w:rsidRPr="00021F83">
      <w:rPr>
        <w:noProof/>
        <w:sz w:val="22"/>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Default="006932DF" w:rsidP="002630B3">
    <w:pPr>
      <w:pStyle w:val="Header"/>
      <w:spacing w:after="480"/>
      <w:rPr>
        <w:noProof/>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6932DF" w:rsidRDefault="00021F83" w:rsidP="00021F83">
    <w:pPr>
      <w:pStyle w:val="Header"/>
      <w:spacing w:after="480"/>
    </w:pPr>
    <w:r w:rsidRPr="0050233E">
      <w:rPr>
        <w:sz w:val="22"/>
        <w:szCs w:val="22"/>
      </w:rPr>
      <w:t xml:space="preserve">  </w:t>
    </w:r>
    <w:r w:rsidRPr="00021F83">
      <w:rPr>
        <w:sz w:val="22"/>
        <w:szCs w:val="22"/>
      </w:rPr>
      <w:fldChar w:fldCharType="begin"/>
    </w:r>
    <w:r w:rsidRPr="00021F83">
      <w:rPr>
        <w:sz w:val="22"/>
        <w:szCs w:val="22"/>
      </w:rPr>
      <w:instrText xml:space="preserve"> PAGE   \* MERGEFORMAT </w:instrText>
    </w:r>
    <w:r w:rsidRPr="00021F83">
      <w:rPr>
        <w:sz w:val="22"/>
        <w:szCs w:val="22"/>
      </w:rPr>
      <w:fldChar w:fldCharType="separate"/>
    </w:r>
    <w:r>
      <w:rPr>
        <w:noProof/>
        <w:sz w:val="22"/>
        <w:szCs w:val="22"/>
      </w:rPr>
      <w:t>4</w:t>
    </w:r>
    <w:r w:rsidRPr="00021F83">
      <w:rPr>
        <w:noProof/>
        <w:sz w:val="22"/>
        <w:szCs w:val="22"/>
      </w:rPr>
      <w:fldChar w:fldCharType="end"/>
    </w:r>
    <w:r>
      <w:rPr>
        <w:noProof/>
        <w:sz w:val="22"/>
        <w:szCs w:val="22"/>
      </w:rPr>
      <w:t xml:space="preserve">   </w:t>
    </w:r>
    <w:r>
      <w:rPr>
        <w:noProof/>
        <w:sz w:val="22"/>
        <w:szCs w:val="22"/>
      </w:rPr>
      <w:t xml:space="preserve"> </w:t>
    </w:r>
    <w:r>
      <w:rPr>
        <w:noProof/>
        <w:sz w:val="22"/>
        <w:szCs w:val="22"/>
      </w:rPr>
      <w:t>FEDERAL RULES OF BANKRUPTCY PROCEDURE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3F" w:rsidRDefault="003A133F" w:rsidP="002630B3">
    <w:pPr>
      <w:pStyle w:val="Header"/>
      <w:spacing w:after="480"/>
      <w:rPr>
        <w:noProof/>
        <w:sz w:val="22"/>
        <w:szCs w:val="22"/>
      </w:rPr>
    </w:pPr>
    <w:r w:rsidRPr="005E7A6D">
      <w:rPr>
        <w:sz w:val="22"/>
        <w:szCs w:val="22"/>
      </w:rPr>
      <w:fldChar w:fldCharType="begin"/>
    </w:r>
    <w:r w:rsidRPr="005E7A6D">
      <w:rPr>
        <w:sz w:val="22"/>
        <w:szCs w:val="22"/>
      </w:rPr>
      <w:instrText xml:space="preserve"> PAGE   \* MERGEFORMAT </w:instrText>
    </w:r>
    <w:r w:rsidRPr="005E7A6D">
      <w:rPr>
        <w:sz w:val="22"/>
        <w:szCs w:val="22"/>
      </w:rPr>
      <w:fldChar w:fldCharType="separate"/>
    </w:r>
    <w:r w:rsidR="00021F83">
      <w:rPr>
        <w:noProof/>
        <w:sz w:val="22"/>
        <w:szCs w:val="22"/>
      </w:rPr>
      <w:t>6</w:t>
    </w:r>
    <w:r w:rsidRPr="005E7A6D">
      <w:rPr>
        <w:noProof/>
        <w:sz w:val="22"/>
        <w:szCs w:val="22"/>
      </w:rPr>
      <w:fldChar w:fldCharType="end"/>
    </w:r>
    <w:r w:rsidRPr="005E7A6D">
      <w:rPr>
        <w:noProof/>
        <w:sz w:val="22"/>
        <w:szCs w:val="22"/>
      </w:rPr>
      <w:t xml:space="preserve"> </w:t>
    </w:r>
    <w:r>
      <w:rPr>
        <w:noProof/>
        <w:sz w:val="22"/>
        <w:szCs w:val="22"/>
      </w:rPr>
      <w:t xml:space="preserve"> </w:t>
    </w:r>
    <w:r w:rsidRPr="005E7A6D">
      <w:rPr>
        <w:noProof/>
        <w:sz w:val="22"/>
        <w:szCs w:val="22"/>
      </w:rPr>
      <w:t xml:space="preserve">  FEDERAL RULES OF BANKRUPTCY PROCEDURE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DF" w:rsidRPr="0050233E" w:rsidRDefault="006932DF" w:rsidP="0050233E">
    <w:pPr>
      <w:pStyle w:val="Header"/>
      <w:spacing w:after="480"/>
      <w:rPr>
        <w:sz w:val="22"/>
        <w:szCs w:val="22"/>
      </w:rPr>
    </w:pPr>
    <w:r w:rsidRPr="0050233E">
      <w:rPr>
        <w:sz w:val="22"/>
        <w:szCs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07" w:rsidRDefault="009F4A07" w:rsidP="009F4A07">
    <w:pPr>
      <w:pStyle w:val="Header"/>
      <w:spacing w:after="480"/>
    </w:pPr>
    <w:r w:rsidRPr="004D202A">
      <w:rPr>
        <w:sz w:val="22"/>
        <w:szCs w:val="22"/>
      </w:rPr>
      <w:fldChar w:fldCharType="begin"/>
    </w:r>
    <w:r w:rsidRPr="004D202A">
      <w:rPr>
        <w:sz w:val="22"/>
        <w:szCs w:val="22"/>
      </w:rPr>
      <w:instrText xml:space="preserve"> PAGE   \* MERGEFORMAT </w:instrText>
    </w:r>
    <w:r w:rsidRPr="004D202A">
      <w:rPr>
        <w:sz w:val="22"/>
        <w:szCs w:val="22"/>
      </w:rPr>
      <w:fldChar w:fldCharType="separate"/>
    </w:r>
    <w:r w:rsidR="006E0ED0">
      <w:rPr>
        <w:noProof/>
        <w:sz w:val="22"/>
        <w:szCs w:val="22"/>
      </w:rPr>
      <w:t>10</w:t>
    </w:r>
    <w:r w:rsidRPr="004D202A">
      <w:rPr>
        <w:noProof/>
        <w:sz w:val="22"/>
        <w:szCs w:val="22"/>
      </w:rPr>
      <w:fldChar w:fldCharType="end"/>
    </w:r>
    <w:r w:rsidRPr="004D202A">
      <w:rPr>
        <w:noProof/>
        <w:sz w:val="22"/>
        <w:szCs w:val="22"/>
      </w:rPr>
      <w:t xml:space="preserve">  </w:t>
    </w:r>
    <w:r>
      <w:rPr>
        <w:noProof/>
        <w:sz w:val="22"/>
        <w:szCs w:val="22"/>
      </w:rPr>
      <w:t xml:space="preserve">    </w:t>
    </w:r>
    <w:r w:rsidRPr="004D202A">
      <w:rPr>
        <w:noProof/>
        <w:sz w:val="22"/>
        <w:szCs w:val="22"/>
      </w:rPr>
      <w:t>FEDERAL RULES OF BANKRUPTCY PROCEDURE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3F"/>
    <w:rsid w:val="00021F83"/>
    <w:rsid w:val="00070AE6"/>
    <w:rsid w:val="00083B2B"/>
    <w:rsid w:val="000E0053"/>
    <w:rsid w:val="00173874"/>
    <w:rsid w:val="00181EA4"/>
    <w:rsid w:val="001C56D0"/>
    <w:rsid w:val="00230756"/>
    <w:rsid w:val="00296F4A"/>
    <w:rsid w:val="002B6FDC"/>
    <w:rsid w:val="002D570C"/>
    <w:rsid w:val="002F0D2C"/>
    <w:rsid w:val="002F74F7"/>
    <w:rsid w:val="0030036B"/>
    <w:rsid w:val="003011E3"/>
    <w:rsid w:val="00357008"/>
    <w:rsid w:val="003A133F"/>
    <w:rsid w:val="004002ED"/>
    <w:rsid w:val="004E7077"/>
    <w:rsid w:val="004F31AA"/>
    <w:rsid w:val="0050233E"/>
    <w:rsid w:val="005436B1"/>
    <w:rsid w:val="006932DF"/>
    <w:rsid w:val="006D0B14"/>
    <w:rsid w:val="006E0ED0"/>
    <w:rsid w:val="0071243D"/>
    <w:rsid w:val="0072215D"/>
    <w:rsid w:val="0073665A"/>
    <w:rsid w:val="00756D77"/>
    <w:rsid w:val="00765777"/>
    <w:rsid w:val="007C3ED6"/>
    <w:rsid w:val="008002FB"/>
    <w:rsid w:val="00802589"/>
    <w:rsid w:val="0081495D"/>
    <w:rsid w:val="0084229A"/>
    <w:rsid w:val="0086165A"/>
    <w:rsid w:val="008A7D60"/>
    <w:rsid w:val="008E0FCB"/>
    <w:rsid w:val="00925975"/>
    <w:rsid w:val="00943915"/>
    <w:rsid w:val="00985BF6"/>
    <w:rsid w:val="009A060E"/>
    <w:rsid w:val="009B6DA0"/>
    <w:rsid w:val="009F4A07"/>
    <w:rsid w:val="00A32ED0"/>
    <w:rsid w:val="00A35B8A"/>
    <w:rsid w:val="00A918CF"/>
    <w:rsid w:val="00AA350B"/>
    <w:rsid w:val="00AA6371"/>
    <w:rsid w:val="00AB0372"/>
    <w:rsid w:val="00AF0F96"/>
    <w:rsid w:val="00B515E4"/>
    <w:rsid w:val="00B83530"/>
    <w:rsid w:val="00BA78F9"/>
    <w:rsid w:val="00C61948"/>
    <w:rsid w:val="00C82973"/>
    <w:rsid w:val="00D1753B"/>
    <w:rsid w:val="00D94781"/>
    <w:rsid w:val="00DD6D3E"/>
    <w:rsid w:val="00F071D3"/>
    <w:rsid w:val="00F10627"/>
    <w:rsid w:val="00F41DBB"/>
    <w:rsid w:val="00F43C0A"/>
    <w:rsid w:val="00F554AB"/>
    <w:rsid w:val="00F725C1"/>
    <w:rsid w:val="00F8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3F"/>
    <w:pPr>
      <w:spacing w:after="200" w:line="276"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33F"/>
    <w:rPr>
      <w:rFonts w:cs="Times New Roman"/>
      <w:szCs w:val="24"/>
    </w:rPr>
  </w:style>
  <w:style w:type="paragraph" w:styleId="FootnoteText">
    <w:name w:val="footnote text"/>
    <w:basedOn w:val="Normal"/>
    <w:link w:val="FootnoteTextChar"/>
    <w:uiPriority w:val="99"/>
    <w:semiHidden/>
    <w:unhideWhenUsed/>
    <w:rsid w:val="003A1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33F"/>
    <w:rPr>
      <w:rFonts w:cs="Times New Roman"/>
      <w:sz w:val="20"/>
      <w:szCs w:val="20"/>
    </w:rPr>
  </w:style>
  <w:style w:type="character" w:styleId="FootnoteReference">
    <w:name w:val="footnote reference"/>
    <w:basedOn w:val="DefaultParagraphFont"/>
    <w:uiPriority w:val="99"/>
    <w:semiHidden/>
    <w:unhideWhenUsed/>
    <w:rsid w:val="003A133F"/>
    <w:rPr>
      <w:vertAlign w:val="superscript"/>
    </w:rPr>
  </w:style>
  <w:style w:type="character" w:styleId="LineNumber">
    <w:name w:val="line number"/>
    <w:basedOn w:val="DefaultParagraphFont"/>
    <w:uiPriority w:val="99"/>
    <w:semiHidden/>
    <w:unhideWhenUsed/>
    <w:rsid w:val="003A133F"/>
  </w:style>
  <w:style w:type="paragraph" w:styleId="Footer">
    <w:name w:val="footer"/>
    <w:basedOn w:val="Normal"/>
    <w:link w:val="FooterChar"/>
    <w:uiPriority w:val="99"/>
    <w:unhideWhenUsed/>
    <w:rsid w:val="00C8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973"/>
    <w:rPr>
      <w:rFonts w:cs="Times New Roman"/>
      <w:szCs w:val="24"/>
    </w:rPr>
  </w:style>
  <w:style w:type="paragraph" w:styleId="Revision">
    <w:name w:val="Revision"/>
    <w:hidden/>
    <w:uiPriority w:val="99"/>
    <w:semiHidden/>
    <w:rsid w:val="008E0FCB"/>
    <w:rPr>
      <w:rFonts w:cs="Times New Roman"/>
      <w:szCs w:val="24"/>
    </w:rPr>
  </w:style>
  <w:style w:type="paragraph" w:styleId="BalloonText">
    <w:name w:val="Balloon Text"/>
    <w:basedOn w:val="Normal"/>
    <w:link w:val="BalloonTextChar"/>
    <w:uiPriority w:val="99"/>
    <w:semiHidden/>
    <w:unhideWhenUsed/>
    <w:rsid w:val="008E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FCB"/>
    <w:rPr>
      <w:rFonts w:ascii="Tahoma" w:hAnsi="Tahoma" w:cs="Tahoma"/>
      <w:sz w:val="16"/>
      <w:szCs w:val="16"/>
    </w:rPr>
  </w:style>
  <w:style w:type="paragraph" w:styleId="ListParagraph">
    <w:name w:val="List Paragraph"/>
    <w:basedOn w:val="Normal"/>
    <w:uiPriority w:val="34"/>
    <w:qFormat/>
    <w:rsid w:val="00F106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3F"/>
    <w:pPr>
      <w:spacing w:after="200" w:line="276"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33F"/>
    <w:rPr>
      <w:rFonts w:cs="Times New Roman"/>
      <w:szCs w:val="24"/>
    </w:rPr>
  </w:style>
  <w:style w:type="paragraph" w:styleId="FootnoteText">
    <w:name w:val="footnote text"/>
    <w:basedOn w:val="Normal"/>
    <w:link w:val="FootnoteTextChar"/>
    <w:uiPriority w:val="99"/>
    <w:semiHidden/>
    <w:unhideWhenUsed/>
    <w:rsid w:val="003A1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33F"/>
    <w:rPr>
      <w:rFonts w:cs="Times New Roman"/>
      <w:sz w:val="20"/>
      <w:szCs w:val="20"/>
    </w:rPr>
  </w:style>
  <w:style w:type="character" w:styleId="FootnoteReference">
    <w:name w:val="footnote reference"/>
    <w:basedOn w:val="DefaultParagraphFont"/>
    <w:uiPriority w:val="99"/>
    <w:semiHidden/>
    <w:unhideWhenUsed/>
    <w:rsid w:val="003A133F"/>
    <w:rPr>
      <w:vertAlign w:val="superscript"/>
    </w:rPr>
  </w:style>
  <w:style w:type="character" w:styleId="LineNumber">
    <w:name w:val="line number"/>
    <w:basedOn w:val="DefaultParagraphFont"/>
    <w:uiPriority w:val="99"/>
    <w:semiHidden/>
    <w:unhideWhenUsed/>
    <w:rsid w:val="003A133F"/>
  </w:style>
  <w:style w:type="paragraph" w:styleId="Footer">
    <w:name w:val="footer"/>
    <w:basedOn w:val="Normal"/>
    <w:link w:val="FooterChar"/>
    <w:uiPriority w:val="99"/>
    <w:unhideWhenUsed/>
    <w:rsid w:val="00C8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973"/>
    <w:rPr>
      <w:rFonts w:cs="Times New Roman"/>
      <w:szCs w:val="24"/>
    </w:rPr>
  </w:style>
  <w:style w:type="paragraph" w:styleId="Revision">
    <w:name w:val="Revision"/>
    <w:hidden/>
    <w:uiPriority w:val="99"/>
    <w:semiHidden/>
    <w:rsid w:val="008E0FCB"/>
    <w:rPr>
      <w:rFonts w:cs="Times New Roman"/>
      <w:szCs w:val="24"/>
    </w:rPr>
  </w:style>
  <w:style w:type="paragraph" w:styleId="BalloonText">
    <w:name w:val="Balloon Text"/>
    <w:basedOn w:val="Normal"/>
    <w:link w:val="BalloonTextChar"/>
    <w:uiPriority w:val="99"/>
    <w:semiHidden/>
    <w:unhideWhenUsed/>
    <w:rsid w:val="008E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FCB"/>
    <w:rPr>
      <w:rFonts w:ascii="Tahoma" w:hAnsi="Tahoma" w:cs="Tahoma"/>
      <w:sz w:val="16"/>
      <w:szCs w:val="16"/>
    </w:rPr>
  </w:style>
  <w:style w:type="paragraph" w:styleId="ListParagraph">
    <w:name w:val="List Paragraph"/>
    <w:basedOn w:val="Normal"/>
    <w:uiPriority w:val="34"/>
    <w:qFormat/>
    <w:rsid w:val="00F10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oter" Target="footer10.xml"/><Relationship Id="rId42" Type="http://schemas.openxmlformats.org/officeDocument/2006/relationships/header" Target="header23.xml"/><Relationship Id="rId47" Type="http://schemas.openxmlformats.org/officeDocument/2006/relationships/header" Target="header2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footer" Target="footer15.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header" Target="header2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footer" Target="footer13.xml"/><Relationship Id="rId45"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24.xm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Gibson</dc:creator>
  <cp:lastModifiedBy>AOUSC</cp:lastModifiedBy>
  <cp:revision>11</cp:revision>
  <cp:lastPrinted>2016-04-27T15:42:00Z</cp:lastPrinted>
  <dcterms:created xsi:type="dcterms:W3CDTF">2015-10-05T20:17:00Z</dcterms:created>
  <dcterms:modified xsi:type="dcterms:W3CDTF">2016-04-27T15:43:00Z</dcterms:modified>
</cp:coreProperties>
</file>