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10" w:rsidRPr="00B601F0" w:rsidRDefault="00C47610" w:rsidP="00162AF6">
      <w:pPr>
        <w:suppressLineNumbers/>
        <w:autoSpaceDE w:val="0"/>
        <w:autoSpaceDN w:val="0"/>
        <w:adjustRightInd w:val="0"/>
        <w:jc w:val="both"/>
        <w:rPr>
          <w:rFonts w:cs="Times New Roman"/>
          <w:b/>
          <w:szCs w:val="24"/>
          <w:lang w:val="en-CA"/>
        </w:rPr>
      </w:pPr>
    </w:p>
    <w:p w:rsidR="00C47610" w:rsidRPr="00B601F0" w:rsidRDefault="00C47610" w:rsidP="00162AF6">
      <w:pPr>
        <w:suppressLineNumbers/>
        <w:autoSpaceDE w:val="0"/>
        <w:autoSpaceDN w:val="0"/>
        <w:adjustRightInd w:val="0"/>
        <w:jc w:val="both"/>
        <w:rPr>
          <w:rFonts w:cs="Times New Roman"/>
          <w:b/>
          <w:szCs w:val="24"/>
          <w:lang w:val="en-CA"/>
        </w:rPr>
      </w:pPr>
    </w:p>
    <w:p w:rsidR="00C47610" w:rsidRPr="00B601F0" w:rsidRDefault="00C47610" w:rsidP="00162AF6">
      <w:pPr>
        <w:suppressLineNumbers/>
        <w:autoSpaceDE w:val="0"/>
        <w:autoSpaceDN w:val="0"/>
        <w:adjustRightInd w:val="0"/>
        <w:jc w:val="center"/>
        <w:rPr>
          <w:rFonts w:cs="Times New Roman"/>
          <w:b/>
          <w:szCs w:val="24"/>
          <w:lang w:val="en-CA"/>
        </w:rPr>
      </w:pPr>
      <w:r w:rsidRPr="00B601F0">
        <w:rPr>
          <w:rFonts w:cs="Times New Roman"/>
          <w:b/>
          <w:szCs w:val="24"/>
          <w:lang w:val="en-CA"/>
        </w:rPr>
        <w:t>PROPOSED AMENDMENTS TO THE</w:t>
      </w:r>
    </w:p>
    <w:p w:rsidR="00C47610" w:rsidRPr="00B601F0" w:rsidRDefault="00C47610" w:rsidP="00162AF6">
      <w:pPr>
        <w:suppressLineNumbers/>
        <w:autoSpaceDE w:val="0"/>
        <w:autoSpaceDN w:val="0"/>
        <w:adjustRightInd w:val="0"/>
        <w:spacing w:after="480"/>
        <w:jc w:val="center"/>
        <w:rPr>
          <w:rFonts w:cs="Times New Roman"/>
          <w:b/>
          <w:szCs w:val="24"/>
          <w:lang w:val="en-CA"/>
        </w:rPr>
      </w:pPr>
      <w:r w:rsidRPr="00B601F0">
        <w:rPr>
          <w:rFonts w:cs="Times New Roman"/>
          <w:b/>
          <w:szCs w:val="24"/>
          <w:lang w:val="en-CA"/>
        </w:rPr>
        <w:t>FEDERAL RULES</w:t>
      </w:r>
      <w:r w:rsidR="004E7A40" w:rsidRPr="00B601F0">
        <w:rPr>
          <w:rFonts w:cs="Times New Roman"/>
          <w:b/>
          <w:szCs w:val="24"/>
          <w:lang w:val="en-CA"/>
        </w:rPr>
        <w:t xml:space="preserve"> </w:t>
      </w:r>
      <w:r w:rsidRPr="00B601F0">
        <w:rPr>
          <w:rFonts w:cs="Times New Roman"/>
          <w:b/>
          <w:szCs w:val="24"/>
          <w:lang w:val="en-CA"/>
        </w:rPr>
        <w:t>OF CIVIL PROCEDURE</w:t>
      </w:r>
      <w:r w:rsidR="004E7A40" w:rsidRPr="00B601F0">
        <w:rPr>
          <w:rStyle w:val="FootnoteReference"/>
          <w:rFonts w:cs="Times New Roman"/>
          <w:b/>
          <w:szCs w:val="24"/>
          <w:lang w:val="en-CA"/>
        </w:rPr>
        <w:footnoteReference w:customMarkFollows="1" w:id="1"/>
        <w:sym w:font="Symbol" w:char="F02A"/>
      </w:r>
    </w:p>
    <w:p w:rsidR="007C5077" w:rsidRPr="00B601F0" w:rsidRDefault="007C5077" w:rsidP="007C5077">
      <w:pPr>
        <w:autoSpaceDE w:val="0"/>
        <w:autoSpaceDN w:val="0"/>
        <w:adjustRightInd w:val="0"/>
        <w:jc w:val="both"/>
        <w:rPr>
          <w:rFonts w:cs="Times New Roman"/>
          <w:b/>
          <w:szCs w:val="24"/>
        </w:rPr>
      </w:pPr>
      <w:r w:rsidRPr="00B601F0">
        <w:rPr>
          <w:rFonts w:cs="Times New Roman"/>
          <w:b/>
          <w:szCs w:val="24"/>
          <w:lang w:val="en-CA"/>
        </w:rPr>
        <w:fldChar w:fldCharType="begin"/>
      </w:r>
      <w:r w:rsidRPr="00B601F0">
        <w:rPr>
          <w:rFonts w:cs="Times New Roman"/>
          <w:b/>
          <w:szCs w:val="24"/>
          <w:lang w:val="en-CA"/>
        </w:rPr>
        <w:instrText xml:space="preserve"> SEQ CHAPTER \h \r 1</w:instrText>
      </w:r>
      <w:r w:rsidRPr="00B601F0">
        <w:rPr>
          <w:rFonts w:cs="Times New Roman"/>
          <w:b/>
          <w:szCs w:val="24"/>
          <w:lang w:val="en-CA"/>
        </w:rPr>
        <w:fldChar w:fldCharType="end"/>
      </w:r>
      <w:proofErr w:type="gramStart"/>
      <w:r w:rsidRPr="00B601F0">
        <w:rPr>
          <w:rFonts w:cs="Times New Roman"/>
          <w:b/>
          <w:bCs/>
          <w:szCs w:val="24"/>
        </w:rPr>
        <w:t>Rule 4.</w:t>
      </w:r>
      <w:proofErr w:type="gramEnd"/>
      <w:r w:rsidRPr="00B601F0">
        <w:rPr>
          <w:rFonts w:cs="Times New Roman"/>
          <w:b/>
          <w:bCs/>
          <w:szCs w:val="24"/>
        </w:rPr>
        <w:t xml:space="preserve">   Summons</w:t>
      </w:r>
      <w:r w:rsidRPr="00B601F0">
        <w:rPr>
          <w:rFonts w:cs="Times New Roman"/>
          <w:b/>
          <w:szCs w:val="24"/>
        </w:rPr>
        <w:t xml:space="preserve"> </w:t>
      </w:r>
    </w:p>
    <w:p w:rsidR="007C5077" w:rsidRPr="00B601F0" w:rsidRDefault="007C5077" w:rsidP="007C5077">
      <w:pPr>
        <w:suppressLineNumbers/>
        <w:autoSpaceDE w:val="0"/>
        <w:autoSpaceDN w:val="0"/>
        <w:adjustRightInd w:val="0"/>
        <w:jc w:val="both"/>
        <w:rPr>
          <w:rFonts w:cs="Times New Roman"/>
          <w:szCs w:val="24"/>
        </w:rPr>
      </w:pPr>
    </w:p>
    <w:p w:rsidR="007C5077" w:rsidRPr="00B601F0" w:rsidRDefault="007C5077" w:rsidP="00C47610">
      <w:pPr>
        <w:autoSpaceDE w:val="0"/>
        <w:autoSpaceDN w:val="0"/>
        <w:adjustRightInd w:val="0"/>
        <w:spacing w:after="240"/>
        <w:jc w:val="center"/>
        <w:rPr>
          <w:rFonts w:cs="Times New Roman"/>
          <w:szCs w:val="24"/>
        </w:rPr>
      </w:pPr>
      <w:r w:rsidRPr="00B601F0">
        <w:rPr>
          <w:rFonts w:cs="Times New Roman"/>
          <w:szCs w:val="24"/>
        </w:rPr>
        <w:t>* * * * *</w:t>
      </w:r>
    </w:p>
    <w:p w:rsidR="007C5077" w:rsidRPr="00B601F0" w:rsidRDefault="007C5077" w:rsidP="00C47610">
      <w:pPr>
        <w:tabs>
          <w:tab w:val="left" w:pos="504"/>
          <w:tab w:val="left" w:pos="1008"/>
          <w:tab w:val="left" w:pos="1512"/>
          <w:tab w:val="left" w:pos="2016"/>
          <w:tab w:val="left" w:pos="2520"/>
          <w:tab w:val="left" w:pos="3024"/>
          <w:tab w:val="left" w:pos="3528"/>
          <w:tab w:val="left" w:pos="4032"/>
          <w:tab w:val="left" w:pos="4536"/>
        </w:tabs>
        <w:autoSpaceDE w:val="0"/>
        <w:autoSpaceDN w:val="0"/>
        <w:adjustRightInd w:val="0"/>
        <w:spacing w:line="480" w:lineRule="auto"/>
        <w:ind w:left="504" w:hanging="504"/>
        <w:jc w:val="both"/>
        <w:rPr>
          <w:rFonts w:cs="Times New Roman"/>
          <w:szCs w:val="24"/>
        </w:rPr>
      </w:pPr>
      <w:r w:rsidRPr="00B601F0">
        <w:rPr>
          <w:rFonts w:cs="Times New Roman"/>
          <w:b/>
          <w:bCs/>
          <w:szCs w:val="24"/>
        </w:rPr>
        <w:t>(m)</w:t>
      </w:r>
      <w:r w:rsidRPr="00B601F0">
        <w:rPr>
          <w:rFonts w:cs="Times New Roman"/>
          <w:b/>
          <w:bCs/>
          <w:szCs w:val="24"/>
        </w:rPr>
        <w:tab/>
        <w:t>Time Limit for Service.</w:t>
      </w:r>
      <w:r w:rsidRPr="00B601F0">
        <w:rPr>
          <w:rFonts w:cs="Times New Roman"/>
          <w:bCs/>
          <w:szCs w:val="24"/>
        </w:rPr>
        <w:t xml:space="preserve">  If a defendant is not served within 90</w:t>
      </w:r>
      <w:bookmarkStart w:id="0" w:name="_GoBack"/>
      <w:bookmarkEnd w:id="0"/>
      <w:r w:rsidRPr="00B601F0">
        <w:rPr>
          <w:rFonts w:cs="Times New Roman"/>
          <w:bCs/>
          <w:szCs w:val="24"/>
        </w:rPr>
        <w:t xml:space="preserve"> days after the complaint is filed, the court</w:t>
      </w:r>
      <w:r w:rsidRPr="00B601F0">
        <w:rPr>
          <w:rFonts w:cs="Times New Roman"/>
          <w:bCs/>
          <w:szCs w:val="24"/>
        </w:rPr>
        <w:sym w:font="Symbol" w:char="F0BE"/>
      </w:r>
      <w:r w:rsidRPr="00B601F0">
        <w:rPr>
          <w:rFonts w:cs="Times New Roman"/>
          <w:bCs/>
          <w:szCs w:val="24"/>
        </w:rPr>
        <w:t>on motion or on its own after notice to the plaintiff</w:t>
      </w:r>
      <w:r w:rsidRPr="00B601F0">
        <w:rPr>
          <w:rFonts w:cs="Times New Roman"/>
          <w:bCs/>
          <w:szCs w:val="24"/>
        </w:rPr>
        <w:sym w:font="Symbol" w:char="F0BE"/>
      </w:r>
      <w:r w:rsidRPr="00B601F0">
        <w:rPr>
          <w:rFonts w:cs="Times New Roman"/>
          <w:bCs/>
          <w:szCs w:val="24"/>
        </w:rPr>
        <w:t xml:space="preserve">must dismiss the action without prejudice against that defendant or order that service be made within a specified time.  But if the plaintiff shows good cause for the failure, the court must extend the </w:t>
      </w:r>
      <w:proofErr w:type="gramStart"/>
      <w:r w:rsidRPr="00B601F0">
        <w:rPr>
          <w:rFonts w:cs="Times New Roman"/>
          <w:bCs/>
          <w:szCs w:val="24"/>
        </w:rPr>
        <w:t>time</w:t>
      </w:r>
      <w:proofErr w:type="gramEnd"/>
      <w:r w:rsidRPr="00B601F0">
        <w:rPr>
          <w:rFonts w:cs="Times New Roman"/>
          <w:bCs/>
          <w:szCs w:val="24"/>
        </w:rPr>
        <w:t xml:space="preserve"> for service for an appropriate period.  T</w:t>
      </w:r>
      <w:r w:rsidRPr="00B601F0">
        <w:rPr>
          <w:rFonts w:cs="Times New Roman"/>
          <w:szCs w:val="24"/>
        </w:rPr>
        <w:t>his subdivision (m) does not apply to service in a foreign country under Rule 4(f)</w:t>
      </w:r>
      <w:r w:rsidRPr="00B601F0">
        <w:rPr>
          <w:rFonts w:cs="Times New Roman"/>
          <w:szCs w:val="24"/>
          <w:u w:val="single"/>
        </w:rPr>
        <w:t>, 4(h</w:t>
      </w:r>
      <w:proofErr w:type="gramStart"/>
      <w:r w:rsidRPr="00B601F0">
        <w:rPr>
          <w:rFonts w:cs="Times New Roman"/>
          <w:szCs w:val="24"/>
          <w:u w:val="single"/>
        </w:rPr>
        <w:t>)(</w:t>
      </w:r>
      <w:proofErr w:type="gramEnd"/>
      <w:r w:rsidRPr="00B601F0">
        <w:rPr>
          <w:rFonts w:cs="Times New Roman"/>
          <w:szCs w:val="24"/>
          <w:u w:val="single"/>
        </w:rPr>
        <w:t>2),</w:t>
      </w:r>
      <w:r w:rsidRPr="00B601F0">
        <w:rPr>
          <w:rFonts w:cs="Times New Roman"/>
          <w:szCs w:val="24"/>
        </w:rPr>
        <w:t xml:space="preserve"> or 4(j)(1).</w:t>
      </w:r>
    </w:p>
    <w:p w:rsidR="007C5077" w:rsidRPr="00B601F0" w:rsidRDefault="007C5077" w:rsidP="00C47610">
      <w:pPr>
        <w:autoSpaceDE w:val="0"/>
        <w:autoSpaceDN w:val="0"/>
        <w:adjustRightInd w:val="0"/>
        <w:spacing w:after="240"/>
        <w:ind w:left="720" w:hanging="720"/>
        <w:jc w:val="center"/>
        <w:rPr>
          <w:rFonts w:cs="Times New Roman"/>
          <w:bCs/>
          <w:szCs w:val="24"/>
        </w:rPr>
      </w:pPr>
      <w:r w:rsidRPr="00B601F0">
        <w:rPr>
          <w:rFonts w:cs="Times New Roman"/>
          <w:bCs/>
          <w:szCs w:val="24"/>
        </w:rPr>
        <w:t>* * * * *</w:t>
      </w:r>
    </w:p>
    <w:p w:rsidR="007C5077" w:rsidRPr="00B601F0" w:rsidRDefault="00C47610" w:rsidP="00704E7C">
      <w:pPr>
        <w:suppressLineNumbers/>
        <w:autoSpaceDE w:val="0"/>
        <w:autoSpaceDN w:val="0"/>
        <w:adjustRightInd w:val="0"/>
        <w:spacing w:after="240"/>
        <w:ind w:left="720" w:hanging="720"/>
        <w:jc w:val="center"/>
        <w:rPr>
          <w:rFonts w:cs="Times New Roman"/>
          <w:b/>
          <w:smallCaps/>
          <w:szCs w:val="24"/>
        </w:rPr>
      </w:pPr>
      <w:r w:rsidRPr="00B601F0">
        <w:rPr>
          <w:rFonts w:cs="Times New Roman"/>
          <w:b/>
          <w:bCs/>
          <w:szCs w:val="24"/>
        </w:rPr>
        <w:t>Committee Note</w:t>
      </w:r>
    </w:p>
    <w:p w:rsidR="007C5077" w:rsidRPr="004D56CE" w:rsidRDefault="007C5077" w:rsidP="00704E7C">
      <w:pPr>
        <w:suppressLineNumbers/>
        <w:autoSpaceDE w:val="0"/>
        <w:autoSpaceDN w:val="0"/>
        <w:adjustRightInd w:val="0"/>
        <w:spacing w:after="240"/>
        <w:ind w:firstLine="504"/>
        <w:jc w:val="both"/>
        <w:rPr>
          <w:rFonts w:cs="Times New Roman"/>
          <w:szCs w:val="24"/>
          <w:u w:val="single"/>
        </w:rPr>
      </w:pPr>
      <w:r w:rsidRPr="004D56CE">
        <w:rPr>
          <w:rFonts w:cs="Times New Roman"/>
          <w:szCs w:val="24"/>
          <w:u w:val="single"/>
        </w:rPr>
        <w:lastRenderedPageBreak/>
        <w:t xml:space="preserve">Rule 4(m) is amended to correct a possible ambiguity that appears to have generated some confusion in practice.  Service in a foreign country often is accomplished by means that require more than the </w:t>
      </w:r>
      <w:r w:rsidR="006C2902">
        <w:rPr>
          <w:rFonts w:cs="Times New Roman"/>
          <w:szCs w:val="24"/>
          <w:u w:val="single"/>
        </w:rPr>
        <w:t>time set by Rule 4(m).</w:t>
      </w:r>
      <w:r w:rsidRPr="004D56CE">
        <w:rPr>
          <w:rFonts w:cs="Times New Roman"/>
          <w:szCs w:val="24"/>
          <w:u w:val="single"/>
        </w:rPr>
        <w:t xml:space="preserve">  This problem is recognized by the two clear exceptions for service on an individual in a foreign country under Rule</w:t>
      </w:r>
      <w:r w:rsidR="00C47610" w:rsidRPr="004D56CE">
        <w:rPr>
          <w:rFonts w:cs="Times New Roman"/>
          <w:szCs w:val="24"/>
          <w:u w:val="single"/>
        </w:rPr>
        <w:t> </w:t>
      </w:r>
      <w:r w:rsidRPr="004D56CE">
        <w:rPr>
          <w:rFonts w:cs="Times New Roman"/>
          <w:szCs w:val="24"/>
          <w:u w:val="single"/>
        </w:rPr>
        <w:t>4(f) and for service on a foreign state under Rule</w:t>
      </w:r>
      <w:r w:rsidR="00162AF6" w:rsidRPr="004D56CE">
        <w:rPr>
          <w:rFonts w:cs="Times New Roman"/>
          <w:szCs w:val="24"/>
          <w:u w:val="single"/>
        </w:rPr>
        <w:t> </w:t>
      </w:r>
      <w:r w:rsidRPr="004D56CE">
        <w:rPr>
          <w:rFonts w:cs="Times New Roman"/>
          <w:szCs w:val="24"/>
          <w:u w:val="single"/>
        </w:rPr>
        <w:t>4(j</w:t>
      </w:r>
      <w:proofErr w:type="gramStart"/>
      <w:r w:rsidRPr="004D56CE">
        <w:rPr>
          <w:rFonts w:cs="Times New Roman"/>
          <w:szCs w:val="24"/>
          <w:u w:val="single"/>
        </w:rPr>
        <w:t>)(</w:t>
      </w:r>
      <w:proofErr w:type="gramEnd"/>
      <w:r w:rsidRPr="004D56CE">
        <w:rPr>
          <w:rFonts w:cs="Times New Roman"/>
          <w:szCs w:val="24"/>
          <w:u w:val="single"/>
        </w:rPr>
        <w:t>1).  The potential ambiguity arises from the lack of any explicit reference to service on a corporation, partnership, or other unincorporated association.  Rule</w:t>
      </w:r>
      <w:r w:rsidR="00162AF6" w:rsidRPr="004D56CE">
        <w:rPr>
          <w:rFonts w:cs="Times New Roman"/>
          <w:szCs w:val="24"/>
          <w:u w:val="single"/>
        </w:rPr>
        <w:t> </w:t>
      </w:r>
      <w:r w:rsidRPr="004D56CE">
        <w:rPr>
          <w:rFonts w:cs="Times New Roman"/>
          <w:szCs w:val="24"/>
          <w:u w:val="single"/>
        </w:rPr>
        <w:t>4(h</w:t>
      </w:r>
      <w:proofErr w:type="gramStart"/>
      <w:r w:rsidRPr="004D56CE">
        <w:rPr>
          <w:rFonts w:cs="Times New Roman"/>
          <w:szCs w:val="24"/>
          <w:u w:val="single"/>
        </w:rPr>
        <w:t>)(</w:t>
      </w:r>
      <w:proofErr w:type="gramEnd"/>
      <w:r w:rsidRPr="004D56CE">
        <w:rPr>
          <w:rFonts w:cs="Times New Roman"/>
          <w:szCs w:val="24"/>
          <w:u w:val="single"/>
        </w:rPr>
        <w:t>2) provides for service on such defendants at a place outside any judicial district of the United States “in any manner prescribed by Rule 4(f) for serving an individual, except personal delivery under (f)(2)(C)(</w:t>
      </w:r>
      <w:proofErr w:type="spellStart"/>
      <w:r w:rsidRPr="004D56CE">
        <w:rPr>
          <w:rFonts w:cs="Times New Roman"/>
          <w:szCs w:val="24"/>
          <w:u w:val="single"/>
        </w:rPr>
        <w:t>i</w:t>
      </w:r>
      <w:proofErr w:type="spellEnd"/>
      <w:r w:rsidRPr="004D56CE">
        <w:rPr>
          <w:rFonts w:cs="Times New Roman"/>
          <w:szCs w:val="24"/>
          <w:u w:val="single"/>
        </w:rPr>
        <w:t>).”  Invoking service “in the manner prescribed by Rule 4(f)” could easily be read to mean that service under Rule 4(h</w:t>
      </w:r>
      <w:proofErr w:type="gramStart"/>
      <w:r w:rsidRPr="004D56CE">
        <w:rPr>
          <w:rFonts w:cs="Times New Roman"/>
          <w:szCs w:val="24"/>
          <w:u w:val="single"/>
        </w:rPr>
        <w:t>)(</w:t>
      </w:r>
      <w:proofErr w:type="gramEnd"/>
      <w:r w:rsidRPr="004D56CE">
        <w:rPr>
          <w:rFonts w:cs="Times New Roman"/>
          <w:szCs w:val="24"/>
          <w:u w:val="single"/>
        </w:rPr>
        <w:t>2) is also service “under” Rule 4(f).  That interpretation is in keeping with the purpose to recognize the delays that often occur in effecting service in a foreign country.  But it also is possible to read the words for what they seem to say—service is under Rule 4(h)(2), albeit in a manner borrowed from almost all, but not quite all, of Rule 4(f).</w:t>
      </w:r>
    </w:p>
    <w:p w:rsidR="007C5077" w:rsidRPr="004D56CE" w:rsidRDefault="007C5077" w:rsidP="007C5077">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cs="Times New Roman"/>
          <w:szCs w:val="24"/>
          <w:u w:val="single"/>
        </w:rPr>
        <w:t>The amendment resolves this possible ambiguity.</w:t>
      </w:r>
    </w:p>
    <w:p w:rsidR="007C5077" w:rsidRPr="00B601F0" w:rsidRDefault="007C5077" w:rsidP="00162AF6">
      <w:pPr>
        <w:suppressLineNumbers/>
        <w:autoSpaceDE w:val="0"/>
        <w:autoSpaceDN w:val="0"/>
        <w:adjustRightInd w:val="0"/>
        <w:jc w:val="both"/>
        <w:rPr>
          <w:rFonts w:cs="Times New Roman"/>
          <w:szCs w:val="24"/>
        </w:rPr>
      </w:pPr>
    </w:p>
    <w:p w:rsidR="00C47610" w:rsidRPr="00B601F0" w:rsidRDefault="00C47610" w:rsidP="00162AF6">
      <w:pPr>
        <w:suppressLineNumbers/>
        <w:autoSpaceDE w:val="0"/>
        <w:autoSpaceDN w:val="0"/>
        <w:adjustRightInd w:val="0"/>
        <w:jc w:val="both"/>
        <w:rPr>
          <w:rFonts w:cs="Times New Roman"/>
          <w:szCs w:val="24"/>
        </w:rPr>
        <w:sectPr w:rsidR="00C47610" w:rsidRPr="00B601F0" w:rsidSect="000F1120">
          <w:headerReference w:type="even" r:id="rId8"/>
          <w:headerReference w:type="default" r:id="rId9"/>
          <w:footnotePr>
            <w:numRestart w:val="eachSect"/>
          </w:footnotePr>
          <w:pgSz w:w="12240" w:h="15840"/>
          <w:pgMar w:top="2880" w:right="2880" w:bottom="2880" w:left="3600" w:header="2880" w:footer="0" w:gutter="0"/>
          <w:lnNumType w:countBy="1" w:restart="newSection"/>
          <w:cols w:space="720"/>
          <w:titlePg/>
          <w:docGrid w:linePitch="360"/>
        </w:sectPr>
      </w:pPr>
    </w:p>
    <w:p w:rsidR="007C5077" w:rsidRPr="00B601F0" w:rsidRDefault="007C5077" w:rsidP="00B601F0">
      <w:pPr>
        <w:tabs>
          <w:tab w:val="left" w:pos="504"/>
          <w:tab w:val="left" w:pos="1008"/>
          <w:tab w:val="left" w:pos="1512"/>
          <w:tab w:val="left" w:pos="2016"/>
          <w:tab w:val="left" w:pos="2520"/>
          <w:tab w:val="left" w:pos="3024"/>
          <w:tab w:val="left" w:pos="3528"/>
          <w:tab w:val="left" w:pos="4032"/>
          <w:tab w:val="left" w:pos="4536"/>
        </w:tabs>
        <w:autoSpaceDE w:val="0"/>
        <w:autoSpaceDN w:val="0"/>
        <w:adjustRightInd w:val="0"/>
        <w:ind w:left="1008" w:hanging="1008"/>
        <w:jc w:val="both"/>
        <w:rPr>
          <w:rFonts w:cs="Times New Roman"/>
          <w:szCs w:val="24"/>
        </w:rPr>
      </w:pPr>
      <w:proofErr w:type="gramStart"/>
      <w:r w:rsidRPr="00B601F0">
        <w:rPr>
          <w:rFonts w:cs="Times New Roman"/>
          <w:b/>
          <w:bCs/>
          <w:szCs w:val="24"/>
        </w:rPr>
        <w:lastRenderedPageBreak/>
        <w:t>Rule 6.</w:t>
      </w:r>
      <w:proofErr w:type="gramEnd"/>
      <w:r w:rsidR="00B601F0" w:rsidRPr="00B601F0">
        <w:rPr>
          <w:rFonts w:cs="Times New Roman"/>
          <w:b/>
          <w:bCs/>
          <w:szCs w:val="24"/>
        </w:rPr>
        <w:tab/>
      </w:r>
      <w:r w:rsidRPr="00B601F0">
        <w:rPr>
          <w:rFonts w:cs="Times New Roman"/>
          <w:b/>
          <w:bCs/>
          <w:szCs w:val="24"/>
        </w:rPr>
        <w:t>Computing and Extending Time; Time for Motion Papers</w:t>
      </w:r>
    </w:p>
    <w:p w:rsidR="007C5077" w:rsidRPr="00B601F0" w:rsidRDefault="007C5077" w:rsidP="00F81FC9">
      <w:pPr>
        <w:keepNext/>
        <w:keepLines/>
        <w:suppressLineNumbers/>
        <w:autoSpaceDE w:val="0"/>
        <w:autoSpaceDN w:val="0"/>
        <w:adjustRightInd w:val="0"/>
        <w:jc w:val="both"/>
        <w:rPr>
          <w:rFonts w:cs="Times New Roman"/>
          <w:szCs w:val="24"/>
        </w:rPr>
      </w:pPr>
    </w:p>
    <w:p w:rsidR="007C5077" w:rsidRPr="00B601F0" w:rsidRDefault="007C5077" w:rsidP="007C5077">
      <w:pPr>
        <w:keepNext/>
        <w:keepLines/>
        <w:autoSpaceDE w:val="0"/>
        <w:autoSpaceDN w:val="0"/>
        <w:adjustRightInd w:val="0"/>
        <w:jc w:val="center"/>
        <w:rPr>
          <w:rFonts w:cs="Times New Roman"/>
          <w:szCs w:val="24"/>
        </w:rPr>
      </w:pPr>
      <w:r w:rsidRPr="00B601F0">
        <w:rPr>
          <w:rFonts w:cs="Times New Roman"/>
          <w:szCs w:val="24"/>
        </w:rPr>
        <w:t>* * * * *</w:t>
      </w:r>
    </w:p>
    <w:p w:rsidR="007C5077" w:rsidRPr="00B601F0" w:rsidRDefault="007C5077" w:rsidP="00F81FC9">
      <w:pPr>
        <w:keepNext/>
        <w:keepLines/>
        <w:suppressLineNumbers/>
        <w:autoSpaceDE w:val="0"/>
        <w:autoSpaceDN w:val="0"/>
        <w:adjustRightInd w:val="0"/>
        <w:jc w:val="both"/>
        <w:rPr>
          <w:rFonts w:cs="Times New Roman"/>
          <w:szCs w:val="24"/>
        </w:rPr>
      </w:pPr>
    </w:p>
    <w:p w:rsidR="007C5077" w:rsidRPr="00B601F0" w:rsidRDefault="007C5077" w:rsidP="00F81FC9">
      <w:pPr>
        <w:tabs>
          <w:tab w:val="left" w:pos="504"/>
          <w:tab w:val="left" w:pos="1008"/>
          <w:tab w:val="left" w:pos="1512"/>
          <w:tab w:val="left" w:pos="2016"/>
          <w:tab w:val="left" w:pos="2520"/>
          <w:tab w:val="left" w:pos="3024"/>
          <w:tab w:val="left" w:pos="3528"/>
          <w:tab w:val="left" w:pos="4032"/>
          <w:tab w:val="left" w:pos="4536"/>
        </w:tabs>
        <w:autoSpaceDE w:val="0"/>
        <w:autoSpaceDN w:val="0"/>
        <w:adjustRightInd w:val="0"/>
        <w:spacing w:line="480" w:lineRule="auto"/>
        <w:ind w:left="504" w:hanging="504"/>
        <w:jc w:val="both"/>
        <w:rPr>
          <w:rFonts w:cs="Times New Roman"/>
          <w:szCs w:val="24"/>
        </w:rPr>
      </w:pPr>
      <w:r w:rsidRPr="00B601F0">
        <w:rPr>
          <w:rFonts w:cs="Times New Roman"/>
          <w:b/>
          <w:szCs w:val="24"/>
        </w:rPr>
        <w:t>(d)</w:t>
      </w:r>
      <w:r w:rsidR="00B601F0" w:rsidRPr="00B601F0">
        <w:rPr>
          <w:rFonts w:cs="Times New Roman"/>
          <w:b/>
          <w:szCs w:val="24"/>
        </w:rPr>
        <w:tab/>
      </w:r>
      <w:r w:rsidRPr="00B601F0">
        <w:rPr>
          <w:rFonts w:cs="Times New Roman"/>
          <w:b/>
          <w:szCs w:val="24"/>
        </w:rPr>
        <w:t xml:space="preserve">Additional Time </w:t>
      </w:r>
      <w:proofErr w:type="gramStart"/>
      <w:r w:rsidRPr="00B601F0">
        <w:rPr>
          <w:rFonts w:cs="Times New Roman"/>
          <w:b/>
          <w:szCs w:val="24"/>
        </w:rPr>
        <w:t>After</w:t>
      </w:r>
      <w:proofErr w:type="gramEnd"/>
      <w:r w:rsidRPr="00B601F0">
        <w:rPr>
          <w:rFonts w:cs="Times New Roman"/>
          <w:b/>
          <w:szCs w:val="24"/>
        </w:rPr>
        <w:t xml:space="preserve"> Certain Kinds of Service.</w:t>
      </w:r>
      <w:r w:rsidRPr="00B601F0">
        <w:rPr>
          <w:rFonts w:cs="Times New Roman"/>
          <w:szCs w:val="24"/>
        </w:rPr>
        <w:t xml:space="preserve"> When a party may or must act within a specified time after </w:t>
      </w:r>
      <w:r w:rsidR="00B3790B" w:rsidRPr="00B3790B">
        <w:rPr>
          <w:rFonts w:cs="Times New Roman"/>
          <w:strike/>
          <w:szCs w:val="24"/>
        </w:rPr>
        <w:t>service</w:t>
      </w:r>
      <w:r w:rsidRPr="00B3790B">
        <w:rPr>
          <w:rFonts w:cs="Times New Roman"/>
          <w:szCs w:val="24"/>
          <w:u w:val="single"/>
        </w:rPr>
        <w:t>being served</w:t>
      </w:r>
      <w:r w:rsidRPr="00B601F0">
        <w:rPr>
          <w:rFonts w:cs="Times New Roman"/>
          <w:szCs w:val="24"/>
        </w:rPr>
        <w:t xml:space="preserve"> and service is made under Rule</w:t>
      </w:r>
      <w:r w:rsidR="00E555F5">
        <w:rPr>
          <w:rFonts w:cs="Times New Roman"/>
          <w:szCs w:val="24"/>
        </w:rPr>
        <w:t> </w:t>
      </w:r>
      <w:r w:rsidRPr="00B601F0">
        <w:rPr>
          <w:rFonts w:cs="Times New Roman"/>
          <w:szCs w:val="24"/>
        </w:rPr>
        <w:t>5(b)(2)(C)</w:t>
      </w:r>
      <w:r w:rsidRPr="00B601F0">
        <w:rPr>
          <w:rFonts w:cs="Times New Roman"/>
          <w:szCs w:val="24"/>
          <w:u w:val="single"/>
        </w:rPr>
        <w:t xml:space="preserve"> (mail)</w:t>
      </w:r>
      <w:r w:rsidRPr="00B601F0">
        <w:rPr>
          <w:rFonts w:cs="Times New Roman"/>
          <w:szCs w:val="24"/>
        </w:rPr>
        <w:t>, (D)</w:t>
      </w:r>
      <w:r w:rsidRPr="00B601F0">
        <w:rPr>
          <w:rFonts w:cs="Times New Roman"/>
          <w:szCs w:val="24"/>
          <w:u w:val="single"/>
        </w:rPr>
        <w:t> (leaving with the clerk)</w:t>
      </w:r>
      <w:r w:rsidRPr="00B601F0">
        <w:rPr>
          <w:rFonts w:cs="Times New Roman"/>
          <w:szCs w:val="24"/>
        </w:rPr>
        <w:t xml:space="preserve">, </w:t>
      </w:r>
      <w:r w:rsidRPr="00B601F0">
        <w:rPr>
          <w:rFonts w:cs="Times New Roman"/>
          <w:strike/>
          <w:szCs w:val="24"/>
        </w:rPr>
        <w:t xml:space="preserve">(E), </w:t>
      </w:r>
      <w:r w:rsidRPr="00B601F0">
        <w:rPr>
          <w:rFonts w:cs="Times New Roman"/>
          <w:szCs w:val="24"/>
        </w:rPr>
        <w:t>or (F)</w:t>
      </w:r>
      <w:r w:rsidRPr="00B601F0">
        <w:rPr>
          <w:rFonts w:cs="Times New Roman"/>
          <w:szCs w:val="24"/>
          <w:u w:val="single"/>
        </w:rPr>
        <w:t xml:space="preserve"> (other means consented to)</w:t>
      </w:r>
      <w:r w:rsidRPr="00B601F0">
        <w:rPr>
          <w:rFonts w:cs="Times New Roman"/>
          <w:szCs w:val="24"/>
        </w:rPr>
        <w:t>, 3 days are added after the period would otherwise expire under Rule 6(a).</w:t>
      </w:r>
    </w:p>
    <w:p w:rsidR="007C5077" w:rsidRPr="00B601F0" w:rsidRDefault="007C5077" w:rsidP="00F81FC9">
      <w:pPr>
        <w:suppressLineNumbers/>
        <w:autoSpaceDE w:val="0"/>
        <w:autoSpaceDN w:val="0"/>
        <w:adjustRightInd w:val="0"/>
        <w:spacing w:after="240"/>
        <w:jc w:val="center"/>
        <w:rPr>
          <w:rFonts w:cs="Times New Roman"/>
          <w:b/>
          <w:szCs w:val="24"/>
        </w:rPr>
      </w:pPr>
      <w:r w:rsidRPr="00B601F0">
        <w:rPr>
          <w:rFonts w:cs="Times New Roman"/>
          <w:b/>
          <w:szCs w:val="24"/>
        </w:rPr>
        <w:t>Committee Note</w:t>
      </w:r>
    </w:p>
    <w:p w:rsidR="007C5077" w:rsidRPr="004D56CE" w:rsidRDefault="007C5077" w:rsidP="00B3790B">
      <w:pPr>
        <w:suppressLineNumbers/>
        <w:autoSpaceDE w:val="0"/>
        <w:autoSpaceDN w:val="0"/>
        <w:adjustRightInd w:val="0"/>
        <w:ind w:firstLine="504"/>
        <w:jc w:val="both"/>
        <w:rPr>
          <w:rFonts w:cs="Times New Roman"/>
          <w:szCs w:val="24"/>
          <w:u w:val="single"/>
        </w:rPr>
      </w:pPr>
      <w:r w:rsidRPr="004D56CE">
        <w:rPr>
          <w:rFonts w:cs="Times New Roman"/>
          <w:szCs w:val="24"/>
          <w:u w:val="single"/>
        </w:rPr>
        <w:t>Rule 6(d) is amended to remove service by electronic means under Rule 5(b</w:t>
      </w:r>
      <w:proofErr w:type="gramStart"/>
      <w:r w:rsidRPr="004D56CE">
        <w:rPr>
          <w:rFonts w:cs="Times New Roman"/>
          <w:szCs w:val="24"/>
          <w:u w:val="single"/>
        </w:rPr>
        <w:t>)(</w:t>
      </w:r>
      <w:proofErr w:type="gramEnd"/>
      <w:r w:rsidRPr="004D56CE">
        <w:rPr>
          <w:rFonts w:cs="Times New Roman"/>
          <w:szCs w:val="24"/>
          <w:u w:val="single"/>
        </w:rPr>
        <w:t>2)(E) from the modes of service that allow 3 added days to act after being served.</w:t>
      </w:r>
    </w:p>
    <w:p w:rsidR="007C5077" w:rsidRPr="004D56CE" w:rsidRDefault="007C5077" w:rsidP="00F81FC9">
      <w:pPr>
        <w:suppressLineNumbers/>
        <w:autoSpaceDE w:val="0"/>
        <w:autoSpaceDN w:val="0"/>
        <w:adjustRightInd w:val="0"/>
        <w:jc w:val="both"/>
        <w:rPr>
          <w:rFonts w:cs="Times New Roman"/>
          <w:szCs w:val="24"/>
          <w:u w:val="single"/>
        </w:rPr>
      </w:pPr>
    </w:p>
    <w:p w:rsidR="007C5077" w:rsidRPr="004D56CE" w:rsidRDefault="007C5077" w:rsidP="00F81FC9">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cs="Times New Roman"/>
          <w:szCs w:val="24"/>
          <w:u w:val="single"/>
        </w:rPr>
        <w:t>Rule 5(b</w:t>
      </w:r>
      <w:proofErr w:type="gramStart"/>
      <w:r w:rsidRPr="004D56CE">
        <w:rPr>
          <w:rFonts w:cs="Times New Roman"/>
          <w:szCs w:val="24"/>
          <w:u w:val="single"/>
        </w:rPr>
        <w:t>)(</w:t>
      </w:r>
      <w:proofErr w:type="gramEnd"/>
      <w:r w:rsidRPr="004D56CE">
        <w:rPr>
          <w:rFonts w:cs="Times New Roman"/>
          <w:szCs w:val="24"/>
          <w:u w:val="single"/>
        </w:rPr>
        <w:t xml:space="preserve">2) was amended in 2001 to provide for service by electronic means. Although electronic transmission seemed virtually instantaneous even then, electronic service was included in the modes of service that allow 3 added days to act after being served. There were concerns that the transmission might be delayed for some time, and particular concerns that incompatible systems </w:t>
      </w:r>
      <w:r w:rsidRPr="004D56CE">
        <w:rPr>
          <w:rFonts w:cs="Times New Roman"/>
          <w:szCs w:val="24"/>
          <w:u w:val="single"/>
        </w:rPr>
        <w:lastRenderedPageBreak/>
        <w:t>might make it difficult or impossible to open attachments. Those concerns have been substantially alleviated by advances in technology and in widespread skill in using electronic transmission.</w:t>
      </w:r>
    </w:p>
    <w:p w:rsidR="007C5077" w:rsidRPr="004D56CE" w:rsidRDefault="007C5077" w:rsidP="00F81FC9">
      <w:pPr>
        <w:suppressLineNumbers/>
        <w:autoSpaceDE w:val="0"/>
        <w:autoSpaceDN w:val="0"/>
        <w:adjustRightInd w:val="0"/>
        <w:jc w:val="both"/>
        <w:rPr>
          <w:rFonts w:cs="Times New Roman"/>
          <w:szCs w:val="24"/>
          <w:u w:val="single"/>
        </w:rPr>
      </w:pPr>
    </w:p>
    <w:p w:rsidR="007C5077" w:rsidRPr="004D56CE" w:rsidRDefault="007C5077" w:rsidP="00F81FC9">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cs="Times New Roman"/>
          <w:szCs w:val="24"/>
          <w:u w:val="single"/>
        </w:rPr>
        <w:t>A parallel reason for allowing the 3 added days was that electronic service was authorized only with the consent of the person to be served. Concerns about the reliability of electronic transmission might have led to refusals of consent; the 3 added days were calculated to alleviate these concerns.</w:t>
      </w:r>
    </w:p>
    <w:p w:rsidR="004D56CE" w:rsidRDefault="004D56CE" w:rsidP="00F81FC9">
      <w:pPr>
        <w:suppressLineNumbers/>
        <w:autoSpaceDE w:val="0"/>
        <w:autoSpaceDN w:val="0"/>
        <w:adjustRightInd w:val="0"/>
        <w:jc w:val="both"/>
        <w:rPr>
          <w:rFonts w:cs="Times New Roman"/>
          <w:szCs w:val="24"/>
          <w:u w:val="single"/>
        </w:rPr>
      </w:pPr>
    </w:p>
    <w:p w:rsidR="007C5077" w:rsidRPr="004D56CE" w:rsidRDefault="007C5077" w:rsidP="00F81FC9">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cs="Times New Roman"/>
          <w:szCs w:val="24"/>
          <w:u w:val="single"/>
        </w:rPr>
        <w:t>Diminution of the concerns that prompted the decision to allow the 3 added days for electronic transmission is not the only reason for discarding this indulgence. Many rules have been changed to ease the task of computing time by adopting 7-, 14-, 21-, and 28-day periods that allow “day-of-the-week” counting. Adding 3 days at the end complicated the counting, and increased the occasions for further complication by invoking the provisions that apply when the last day is a Saturday, Sunday, or legal holiday.</w:t>
      </w:r>
    </w:p>
    <w:p w:rsidR="007C5077" w:rsidRPr="004D56CE" w:rsidRDefault="007C5077" w:rsidP="00F81FC9">
      <w:pPr>
        <w:suppressLineNumbers/>
        <w:autoSpaceDE w:val="0"/>
        <w:autoSpaceDN w:val="0"/>
        <w:adjustRightInd w:val="0"/>
        <w:jc w:val="both"/>
        <w:rPr>
          <w:rFonts w:cs="Times New Roman"/>
          <w:szCs w:val="24"/>
          <w:u w:val="single"/>
        </w:rPr>
      </w:pPr>
    </w:p>
    <w:p w:rsidR="007C5077" w:rsidRPr="004D56CE" w:rsidRDefault="007C5077" w:rsidP="00F81FC9">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cs="Times New Roman"/>
          <w:szCs w:val="24"/>
          <w:u w:val="single"/>
        </w:rPr>
        <w:t xml:space="preserve">Electronic service after business hours, or just before or during a weekend or holiday, may result in a practical reduction in the time available to respond. </w:t>
      </w:r>
      <w:r w:rsidR="00814EAA" w:rsidRPr="004D56CE">
        <w:rPr>
          <w:rFonts w:cs="Times New Roman"/>
          <w:szCs w:val="24"/>
          <w:u w:val="single"/>
        </w:rPr>
        <w:t xml:space="preserve"> </w:t>
      </w:r>
      <w:r w:rsidRPr="004D56CE">
        <w:rPr>
          <w:rFonts w:cs="Times New Roman"/>
          <w:szCs w:val="24"/>
          <w:u w:val="single"/>
        </w:rPr>
        <w:t>Extensions of time may be warranted to prevent prejudice.</w:t>
      </w:r>
    </w:p>
    <w:p w:rsidR="007C5077" w:rsidRPr="004D56CE" w:rsidRDefault="007C5077" w:rsidP="00F81FC9">
      <w:pPr>
        <w:suppressLineNumbers/>
        <w:autoSpaceDE w:val="0"/>
        <w:autoSpaceDN w:val="0"/>
        <w:adjustRightInd w:val="0"/>
        <w:jc w:val="both"/>
        <w:rPr>
          <w:rFonts w:cs="Times New Roman"/>
          <w:szCs w:val="24"/>
          <w:u w:val="single"/>
        </w:rPr>
      </w:pPr>
    </w:p>
    <w:p w:rsidR="007C5077" w:rsidRPr="004D56CE" w:rsidRDefault="007C5077" w:rsidP="00F81FC9">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cs="Times New Roman"/>
          <w:szCs w:val="24"/>
          <w:u w:val="single"/>
        </w:rPr>
        <w:t xml:space="preserve">Eliminating Rule 5(b) subparagraph (2)(E) from the modes of service that allow 3 added days means that the 3 added days cannot be retained by consenting to service by electronic means. Consent to electronic service in registering for electronic case filing, for example, does not </w:t>
      </w:r>
      <w:r w:rsidRPr="004D56CE">
        <w:rPr>
          <w:rFonts w:cs="Times New Roman"/>
          <w:szCs w:val="24"/>
          <w:u w:val="single"/>
        </w:rPr>
        <w:lastRenderedPageBreak/>
        <w:t>count as consent to service “by any other means” of delivery under subparagraph (F).</w:t>
      </w:r>
    </w:p>
    <w:p w:rsidR="00814EAA" w:rsidRPr="004D56CE" w:rsidRDefault="00814EAA" w:rsidP="00F81FC9">
      <w:pPr>
        <w:suppressLineNumbers/>
        <w:autoSpaceDE w:val="0"/>
        <w:autoSpaceDN w:val="0"/>
        <w:adjustRightInd w:val="0"/>
        <w:jc w:val="both"/>
        <w:rPr>
          <w:rFonts w:cs="Times New Roman"/>
          <w:szCs w:val="24"/>
          <w:u w:val="single"/>
        </w:rPr>
      </w:pPr>
    </w:p>
    <w:p w:rsidR="00814EAA" w:rsidRPr="004D56CE" w:rsidRDefault="00814EAA" w:rsidP="00F81FC9">
      <w:pPr>
        <w:suppressLineNumbers/>
        <w:autoSpaceDE w:val="0"/>
        <w:autoSpaceDN w:val="0"/>
        <w:adjustRightInd w:val="0"/>
        <w:jc w:val="both"/>
        <w:rPr>
          <w:rFonts w:cs="Times New Roman"/>
          <w:szCs w:val="24"/>
          <w:u w:val="single"/>
        </w:rPr>
      </w:pPr>
      <w:r w:rsidRPr="004D56CE">
        <w:rPr>
          <w:rFonts w:cs="Times New Roman"/>
          <w:szCs w:val="24"/>
        </w:rPr>
        <w:tab/>
      </w:r>
      <w:r w:rsidRPr="004D56CE">
        <w:rPr>
          <w:rFonts w:eastAsia="Times New Roman" w:cs="Times New Roman"/>
          <w:szCs w:val="24"/>
          <w:u w:val="single"/>
        </w:rPr>
        <w:t xml:space="preserve">What is now Rule 6(d) was amended in 2005 “to remove any doubt as to the method for calculating the time to respond after service by mail, leaving with the clerk of court, electronic means, or by other means consented to by the party </w:t>
      </w:r>
      <w:proofErr w:type="gramStart"/>
      <w:r w:rsidRPr="004D56CE">
        <w:rPr>
          <w:rFonts w:eastAsia="Times New Roman" w:cs="Times New Roman"/>
          <w:szCs w:val="24"/>
          <w:u w:val="single"/>
        </w:rPr>
        <w:t>served.</w:t>
      </w:r>
      <w:proofErr w:type="gramEnd"/>
      <w:r w:rsidRPr="004D56CE">
        <w:rPr>
          <w:rFonts w:eastAsia="Times New Roman" w:cs="Times New Roman"/>
          <w:szCs w:val="24"/>
          <w:u w:val="single"/>
        </w:rPr>
        <w:t>”  A potential ambiguity was created by substituting “after service” for the earlier references to acting after service “upon the party” if a paper or notice “is served upon the party” by the specified means.  “[A]</w:t>
      </w:r>
      <w:proofErr w:type="spellStart"/>
      <w:r w:rsidRPr="004D56CE">
        <w:rPr>
          <w:rFonts w:eastAsia="Times New Roman" w:cs="Times New Roman"/>
          <w:szCs w:val="24"/>
          <w:u w:val="single"/>
        </w:rPr>
        <w:t>fter</w:t>
      </w:r>
      <w:proofErr w:type="spellEnd"/>
      <w:r w:rsidRPr="004D56CE">
        <w:rPr>
          <w:rFonts w:eastAsia="Times New Roman" w:cs="Times New Roman"/>
          <w:szCs w:val="24"/>
          <w:u w:val="single"/>
        </w:rPr>
        <w:t xml:space="preserve"> service” could be read to refer not only to a party that has been served but also to a party that has made service.  That reading would mean that a party who is allowed a specified time to act after making service can extend the time by choosing one of the means of service specified in the rule, something that was never intended by the original rule or the amendment.  Rules setting a time to act after making service include Rules 14(a</w:t>
      </w:r>
      <w:proofErr w:type="gramStart"/>
      <w:r w:rsidRPr="004D56CE">
        <w:rPr>
          <w:rFonts w:eastAsia="Times New Roman" w:cs="Times New Roman"/>
          <w:szCs w:val="24"/>
          <w:u w:val="single"/>
        </w:rPr>
        <w:t>)(</w:t>
      </w:r>
      <w:proofErr w:type="gramEnd"/>
      <w:r w:rsidRPr="004D56CE">
        <w:rPr>
          <w:rFonts w:eastAsia="Times New Roman" w:cs="Times New Roman"/>
          <w:szCs w:val="24"/>
          <w:u w:val="single"/>
        </w:rPr>
        <w:t>1), 15(a)(1)(A), and 38(b)(1). “[A]</w:t>
      </w:r>
      <w:proofErr w:type="spellStart"/>
      <w:r w:rsidRPr="004D56CE">
        <w:rPr>
          <w:rFonts w:eastAsia="Times New Roman" w:cs="Times New Roman"/>
          <w:szCs w:val="24"/>
          <w:u w:val="single"/>
        </w:rPr>
        <w:t>fter</w:t>
      </w:r>
      <w:proofErr w:type="spellEnd"/>
      <w:r w:rsidRPr="004D56CE">
        <w:rPr>
          <w:rFonts w:eastAsia="Times New Roman" w:cs="Times New Roman"/>
          <w:szCs w:val="24"/>
          <w:u w:val="single"/>
        </w:rPr>
        <w:t xml:space="preserve"> being served” is substituted for “after service” to dispel any possible misreading.</w:t>
      </w:r>
    </w:p>
    <w:p w:rsidR="007C5077" w:rsidRPr="004D56CE" w:rsidRDefault="007C5077" w:rsidP="00F81FC9">
      <w:pPr>
        <w:suppressLineNumbers/>
        <w:autoSpaceDE w:val="0"/>
        <w:autoSpaceDN w:val="0"/>
        <w:adjustRightInd w:val="0"/>
        <w:jc w:val="both"/>
        <w:rPr>
          <w:rFonts w:cs="Times New Roman"/>
          <w:szCs w:val="24"/>
          <w:u w:val="single"/>
        </w:rPr>
      </w:pPr>
    </w:p>
    <w:p w:rsidR="00C47610" w:rsidRPr="00B601F0" w:rsidRDefault="00C47610" w:rsidP="00F81FC9">
      <w:pPr>
        <w:suppressLineNumbers/>
        <w:autoSpaceDE w:val="0"/>
        <w:autoSpaceDN w:val="0"/>
        <w:adjustRightInd w:val="0"/>
        <w:jc w:val="both"/>
        <w:rPr>
          <w:rFonts w:cs="Times New Roman"/>
          <w:szCs w:val="24"/>
        </w:rPr>
        <w:sectPr w:rsidR="00C47610" w:rsidRPr="00B601F0" w:rsidSect="000F1120">
          <w:pgSz w:w="12240" w:h="15840"/>
          <w:pgMar w:top="2880" w:right="2880" w:bottom="2880" w:left="3600" w:header="2880" w:footer="144" w:gutter="0"/>
          <w:lnNumType w:countBy="1" w:restart="newSection"/>
          <w:cols w:space="720"/>
          <w:docGrid w:linePitch="360"/>
        </w:sectPr>
      </w:pPr>
    </w:p>
    <w:p w:rsidR="007C5077" w:rsidRPr="00B601F0" w:rsidRDefault="007C5077" w:rsidP="007C5077">
      <w:pPr>
        <w:tabs>
          <w:tab w:val="left" w:pos="504"/>
          <w:tab w:val="left" w:pos="1008"/>
          <w:tab w:val="left" w:pos="1512"/>
          <w:tab w:val="left" w:pos="2016"/>
          <w:tab w:val="left" w:pos="2520"/>
          <w:tab w:val="left" w:pos="3024"/>
          <w:tab w:val="left" w:pos="3528"/>
          <w:tab w:val="left" w:pos="4032"/>
          <w:tab w:val="left" w:pos="4536"/>
        </w:tabs>
        <w:autoSpaceDE w:val="0"/>
        <w:autoSpaceDN w:val="0"/>
        <w:adjustRightInd w:val="0"/>
        <w:ind w:left="1008" w:hanging="1008"/>
        <w:jc w:val="both"/>
        <w:rPr>
          <w:rFonts w:eastAsiaTheme="minorEastAsia" w:cs="Times New Roman"/>
          <w:spacing w:val="-3"/>
          <w:szCs w:val="24"/>
        </w:rPr>
      </w:pPr>
      <w:proofErr w:type="gramStart"/>
      <w:r w:rsidRPr="00B601F0">
        <w:rPr>
          <w:rFonts w:eastAsiaTheme="minorEastAsia" w:cs="Times New Roman"/>
          <w:b/>
          <w:bCs/>
          <w:spacing w:val="-3"/>
          <w:szCs w:val="24"/>
        </w:rPr>
        <w:lastRenderedPageBreak/>
        <w:t>Rule 82.</w:t>
      </w:r>
      <w:proofErr w:type="gramEnd"/>
      <w:r w:rsidRPr="00B601F0">
        <w:rPr>
          <w:rFonts w:eastAsiaTheme="minorEastAsia" w:cs="Times New Roman"/>
          <w:b/>
          <w:bCs/>
          <w:spacing w:val="-3"/>
          <w:szCs w:val="24"/>
        </w:rPr>
        <w:t xml:space="preserve">   Jurisdiction and Venue Unaffected</w:t>
      </w:r>
    </w:p>
    <w:p w:rsidR="007C5077" w:rsidRPr="00B601F0" w:rsidRDefault="007C5077" w:rsidP="007C5077">
      <w:pPr>
        <w:widowControl w:val="0"/>
        <w:suppressLineNumbers/>
        <w:tabs>
          <w:tab w:val="left" w:pos="-720"/>
        </w:tabs>
        <w:suppressAutoHyphens/>
        <w:autoSpaceDE w:val="0"/>
        <w:autoSpaceDN w:val="0"/>
        <w:adjustRightInd w:val="0"/>
        <w:jc w:val="both"/>
        <w:rPr>
          <w:rFonts w:eastAsiaTheme="minorEastAsia" w:cs="Times New Roman"/>
          <w:spacing w:val="-3"/>
          <w:szCs w:val="24"/>
        </w:rPr>
      </w:pPr>
    </w:p>
    <w:p w:rsidR="007C5077" w:rsidRPr="00B601F0" w:rsidRDefault="007C5077" w:rsidP="00F81FC9">
      <w:pPr>
        <w:tabs>
          <w:tab w:val="left" w:pos="504"/>
          <w:tab w:val="left" w:pos="1008"/>
          <w:tab w:val="left" w:pos="1512"/>
          <w:tab w:val="left" w:pos="2016"/>
          <w:tab w:val="left" w:pos="2520"/>
          <w:tab w:val="left" w:pos="3024"/>
          <w:tab w:val="left" w:pos="3528"/>
          <w:tab w:val="left" w:pos="4032"/>
          <w:tab w:val="left" w:pos="4536"/>
        </w:tabs>
        <w:autoSpaceDE w:val="0"/>
        <w:autoSpaceDN w:val="0"/>
        <w:adjustRightInd w:val="0"/>
        <w:spacing w:line="480" w:lineRule="auto"/>
        <w:jc w:val="both"/>
        <w:rPr>
          <w:rFonts w:eastAsiaTheme="minorEastAsia" w:cs="Times New Roman"/>
          <w:spacing w:val="-3"/>
          <w:szCs w:val="24"/>
        </w:rPr>
      </w:pPr>
      <w:r w:rsidRPr="00B601F0">
        <w:rPr>
          <w:rFonts w:eastAsiaTheme="minorEastAsia" w:cs="Times New Roman"/>
          <w:spacing w:val="-3"/>
          <w:szCs w:val="24"/>
        </w:rPr>
        <w:tab/>
        <w:t xml:space="preserve">These rules do not extend or limit the jurisdiction of the district courts or the venue of actions in those courts.  An admiralty or maritime claim under Rule 9(h) is </w:t>
      </w:r>
      <w:r w:rsidRPr="00B601F0">
        <w:rPr>
          <w:rFonts w:eastAsiaTheme="minorEastAsia" w:cs="Times New Roman"/>
          <w:spacing w:val="-3"/>
          <w:szCs w:val="24"/>
          <w:u w:val="single"/>
        </w:rPr>
        <w:t xml:space="preserve">governed by 28 U.S.C. </w:t>
      </w:r>
      <w:r w:rsidRPr="00B601F0">
        <w:rPr>
          <w:rFonts w:eastAsiaTheme="minorEastAsia" w:cs="Times New Roman"/>
          <w:spacing w:val="-3"/>
          <w:szCs w:val="24"/>
          <w:u w:val="single"/>
        </w:rPr>
        <w:sym w:font="WP TypographicSymbols" w:char="0027"/>
      </w:r>
      <w:r w:rsidRPr="00B601F0">
        <w:rPr>
          <w:rFonts w:eastAsiaTheme="minorEastAsia" w:cs="Times New Roman"/>
          <w:spacing w:val="-3"/>
          <w:szCs w:val="24"/>
          <w:u w:val="single"/>
        </w:rPr>
        <w:t xml:space="preserve"> 1390</w:t>
      </w:r>
      <w:r w:rsidRPr="00B601F0">
        <w:rPr>
          <w:rFonts w:eastAsiaTheme="minorEastAsia" w:cs="Times New Roman"/>
          <w:strike/>
          <w:spacing w:val="-3"/>
          <w:szCs w:val="24"/>
        </w:rPr>
        <w:t xml:space="preserve"> not a civil action for purposes of 28 U.S.C. </w:t>
      </w:r>
      <w:r w:rsidRPr="00B601F0">
        <w:rPr>
          <w:rFonts w:eastAsiaTheme="minorEastAsia" w:cs="Times New Roman"/>
          <w:strike/>
          <w:spacing w:val="-3"/>
          <w:szCs w:val="24"/>
        </w:rPr>
        <w:sym w:font="WP TypographicSymbols" w:char="0027"/>
      </w:r>
      <w:r w:rsidRPr="00B601F0">
        <w:rPr>
          <w:rFonts w:eastAsiaTheme="minorEastAsia" w:cs="Times New Roman"/>
          <w:strike/>
          <w:spacing w:val="-3"/>
          <w:szCs w:val="24"/>
        </w:rPr>
        <w:sym w:font="WP TypographicSymbols" w:char="0027"/>
      </w:r>
      <w:r w:rsidRPr="00B601F0">
        <w:rPr>
          <w:rFonts w:eastAsiaTheme="minorEastAsia" w:cs="Times New Roman"/>
          <w:strike/>
          <w:spacing w:val="-3"/>
          <w:szCs w:val="24"/>
        </w:rPr>
        <w:t xml:space="preserve"> 1391-1392</w:t>
      </w:r>
      <w:r w:rsidRPr="00B601F0">
        <w:rPr>
          <w:rFonts w:eastAsiaTheme="minorEastAsia" w:cs="Times New Roman"/>
          <w:spacing w:val="-3"/>
          <w:szCs w:val="24"/>
        </w:rPr>
        <w:t>.</w:t>
      </w:r>
    </w:p>
    <w:p w:rsidR="007C5077" w:rsidRPr="00F81FC9" w:rsidRDefault="007C5077" w:rsidP="00F81FC9">
      <w:pPr>
        <w:suppressLineNumbers/>
        <w:autoSpaceDE w:val="0"/>
        <w:autoSpaceDN w:val="0"/>
        <w:adjustRightInd w:val="0"/>
        <w:spacing w:after="240"/>
        <w:jc w:val="center"/>
        <w:rPr>
          <w:rFonts w:eastAsiaTheme="minorEastAsia" w:cs="Times New Roman"/>
          <w:b/>
          <w:spacing w:val="-3"/>
          <w:szCs w:val="24"/>
        </w:rPr>
      </w:pPr>
      <w:r w:rsidRPr="00F81FC9">
        <w:rPr>
          <w:rFonts w:eastAsiaTheme="minorEastAsia" w:cs="Times New Roman"/>
          <w:b/>
          <w:spacing w:val="-3"/>
          <w:szCs w:val="24"/>
        </w:rPr>
        <w:t>Committee Note</w:t>
      </w:r>
    </w:p>
    <w:p w:rsidR="007C5077" w:rsidRPr="004D56CE" w:rsidRDefault="007C5077" w:rsidP="007C5077">
      <w:pPr>
        <w:suppressLineNumbers/>
        <w:tabs>
          <w:tab w:val="left" w:pos="720"/>
        </w:tabs>
        <w:autoSpaceDE w:val="0"/>
        <w:autoSpaceDN w:val="0"/>
        <w:adjustRightInd w:val="0"/>
        <w:jc w:val="both"/>
        <w:rPr>
          <w:rFonts w:eastAsiaTheme="minorEastAsia" w:cs="Times New Roman"/>
          <w:spacing w:val="-3"/>
          <w:szCs w:val="24"/>
          <w:u w:val="single"/>
        </w:rPr>
      </w:pPr>
      <w:r w:rsidRPr="00B601F0">
        <w:rPr>
          <w:rFonts w:eastAsiaTheme="minorEastAsia" w:cs="Times New Roman"/>
          <w:spacing w:val="-3"/>
          <w:szCs w:val="24"/>
        </w:rPr>
        <w:tab/>
      </w:r>
      <w:r w:rsidRPr="004D56CE">
        <w:rPr>
          <w:rFonts w:eastAsiaTheme="minorEastAsia" w:cs="Times New Roman"/>
          <w:spacing w:val="-3"/>
          <w:szCs w:val="24"/>
          <w:u w:val="single"/>
        </w:rPr>
        <w:t xml:space="preserve">Rule 82 is amended to reflect the enactment of 28 U.S.C. </w:t>
      </w:r>
      <w:r w:rsidRPr="004D56CE">
        <w:rPr>
          <w:rFonts w:eastAsiaTheme="minorEastAsia" w:cs="Times New Roman"/>
          <w:spacing w:val="-3"/>
          <w:szCs w:val="24"/>
          <w:u w:val="single"/>
        </w:rPr>
        <w:sym w:font="WP TypographicSymbols" w:char="0027"/>
      </w:r>
      <w:r w:rsidRPr="004D56CE">
        <w:rPr>
          <w:rFonts w:eastAsiaTheme="minorEastAsia" w:cs="Times New Roman"/>
          <w:spacing w:val="-3"/>
          <w:szCs w:val="24"/>
          <w:u w:val="single"/>
        </w:rPr>
        <w:t xml:space="preserve"> 1390 and the repeal of </w:t>
      </w:r>
      <w:r w:rsidRPr="004D56CE">
        <w:rPr>
          <w:rFonts w:eastAsiaTheme="minorEastAsia" w:cs="Times New Roman"/>
          <w:spacing w:val="-3"/>
          <w:szCs w:val="24"/>
          <w:u w:val="single"/>
        </w:rPr>
        <w:sym w:font="WP TypographicSymbols" w:char="0027"/>
      </w:r>
      <w:r w:rsidRPr="004D56CE">
        <w:rPr>
          <w:rFonts w:eastAsiaTheme="minorEastAsia" w:cs="Times New Roman"/>
          <w:spacing w:val="-3"/>
          <w:szCs w:val="24"/>
          <w:u w:val="single"/>
        </w:rPr>
        <w:t xml:space="preserve"> 1392.</w:t>
      </w:r>
    </w:p>
    <w:p w:rsidR="007C5077" w:rsidRPr="00B601F0" w:rsidRDefault="007C5077" w:rsidP="00F81FC9">
      <w:pPr>
        <w:suppressLineNumbers/>
        <w:autoSpaceDE w:val="0"/>
        <w:autoSpaceDN w:val="0"/>
        <w:adjustRightInd w:val="0"/>
        <w:jc w:val="both"/>
        <w:rPr>
          <w:rFonts w:cs="Times New Roman"/>
          <w:szCs w:val="24"/>
        </w:rPr>
      </w:pPr>
    </w:p>
    <w:p w:rsidR="007C5077" w:rsidRPr="00B601F0" w:rsidRDefault="007C5077" w:rsidP="00F81FC9">
      <w:pPr>
        <w:suppressLineNumbers/>
        <w:autoSpaceDE w:val="0"/>
        <w:autoSpaceDN w:val="0"/>
        <w:adjustRightInd w:val="0"/>
        <w:jc w:val="both"/>
        <w:rPr>
          <w:rFonts w:cs="Times New Roman"/>
          <w:szCs w:val="24"/>
        </w:rPr>
      </w:pPr>
    </w:p>
    <w:sectPr w:rsidR="007C5077" w:rsidRPr="00B601F0" w:rsidSect="000F1120">
      <w:pgSz w:w="12240" w:h="15840"/>
      <w:pgMar w:top="2880" w:right="2880" w:bottom="2880" w:left="3600" w:header="2880" w:footer="0" w:gutter="0"/>
      <w:lnNumType w:countBy="1" w:restart="newSecti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7A8" w:rsidRDefault="00F077A8" w:rsidP="007C5077">
      <w:r>
        <w:separator/>
      </w:r>
    </w:p>
  </w:endnote>
  <w:endnote w:type="continuationSeparator" w:id="0">
    <w:p w:rsidR="00F077A8" w:rsidRDefault="00F077A8" w:rsidP="007C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7A8" w:rsidRDefault="00F077A8" w:rsidP="007C5077">
      <w:r>
        <w:separator/>
      </w:r>
    </w:p>
  </w:footnote>
  <w:footnote w:type="continuationSeparator" w:id="0">
    <w:p w:rsidR="00F077A8" w:rsidRDefault="00F077A8" w:rsidP="007C5077">
      <w:r>
        <w:continuationSeparator/>
      </w:r>
    </w:p>
  </w:footnote>
  <w:footnote w:id="1">
    <w:p w:rsidR="004E7A40" w:rsidRPr="00C47610" w:rsidRDefault="004E7A40" w:rsidP="00162AF6">
      <w:pPr>
        <w:pStyle w:val="FootnoteText"/>
        <w:jc w:val="both"/>
        <w:rPr>
          <w:sz w:val="22"/>
          <w:szCs w:val="22"/>
        </w:rPr>
      </w:pPr>
      <w:r w:rsidRPr="004E7A40">
        <w:rPr>
          <w:rStyle w:val="FootnoteReference"/>
        </w:rPr>
        <w:sym w:font="Symbol" w:char="F02A"/>
      </w:r>
      <w:r>
        <w:rPr>
          <w:sz w:val="22"/>
          <w:szCs w:val="22"/>
        </w:rPr>
        <w:t xml:space="preserve"> </w:t>
      </w:r>
      <w:r>
        <w:rPr>
          <w:sz w:val="22"/>
          <w:szCs w:val="22"/>
        </w:rPr>
        <w:tab/>
        <w:t>New material is underlined; matter to be omitted is lined through.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7C" w:rsidRPr="000F1120" w:rsidRDefault="000F1120" w:rsidP="000F1120">
    <w:pPr>
      <w:pStyle w:val="Header"/>
      <w:spacing w:after="480"/>
      <w:rPr>
        <w:sz w:val="22"/>
      </w:rPr>
    </w:pPr>
    <w:r w:rsidRPr="000F1120">
      <w:rPr>
        <w:sz w:val="22"/>
      </w:rPr>
      <w:fldChar w:fldCharType="begin"/>
    </w:r>
    <w:r w:rsidRPr="000F1120">
      <w:rPr>
        <w:sz w:val="22"/>
      </w:rPr>
      <w:instrText xml:space="preserve"> PAGE   \* MERGEFORMAT </w:instrText>
    </w:r>
    <w:r w:rsidRPr="000F1120">
      <w:rPr>
        <w:sz w:val="22"/>
      </w:rPr>
      <w:fldChar w:fldCharType="separate"/>
    </w:r>
    <w:r w:rsidR="00FA12EC">
      <w:rPr>
        <w:noProof/>
        <w:sz w:val="22"/>
      </w:rPr>
      <w:t>6</w:t>
    </w:r>
    <w:r w:rsidRPr="000F1120">
      <w:rPr>
        <w:noProof/>
        <w:sz w:val="22"/>
      </w:rPr>
      <w:fldChar w:fldCharType="end"/>
    </w:r>
    <w:r>
      <w:rPr>
        <w:noProof/>
        <w:sz w:val="22"/>
      </w:rPr>
      <w:t xml:space="preserve">              FEDERAL RULES OF CIVIL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E7C" w:rsidRDefault="000F1120" w:rsidP="000F1120">
    <w:pPr>
      <w:pStyle w:val="Header"/>
      <w:spacing w:after="480"/>
    </w:pPr>
    <w:r>
      <w:t xml:space="preserve">          FEDERAL RULES OF CIVIL PROCEDURE         </w:t>
    </w:r>
    <w:r>
      <w:fldChar w:fldCharType="begin"/>
    </w:r>
    <w:r>
      <w:instrText xml:space="preserve"> PAGE   \* MERGEFORMAT </w:instrText>
    </w:r>
    <w:r>
      <w:fldChar w:fldCharType="separate"/>
    </w:r>
    <w:r w:rsidR="00FA12EC">
      <w:rPr>
        <w:noProof/>
      </w:rPr>
      <w:t>5</w:t>
    </w:r>
    <w:r>
      <w:rPr>
        <w:noProof/>
      </w:rPr>
      <w:fldChar w:fldCharType="end"/>
    </w:r>
  </w:p>
  <w:p w:rsidR="00704E7C" w:rsidRDefault="00704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504"/>
  <w:evenAndOddHeaders/>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77"/>
    <w:rsid w:val="000D2479"/>
    <w:rsid w:val="000F1120"/>
    <w:rsid w:val="00120B53"/>
    <w:rsid w:val="00162AF6"/>
    <w:rsid w:val="0016494C"/>
    <w:rsid w:val="004D56CE"/>
    <w:rsid w:val="004E7A40"/>
    <w:rsid w:val="006C2902"/>
    <w:rsid w:val="006F51F9"/>
    <w:rsid w:val="00704E7C"/>
    <w:rsid w:val="007C5077"/>
    <w:rsid w:val="00814EAA"/>
    <w:rsid w:val="00832F5D"/>
    <w:rsid w:val="00B21673"/>
    <w:rsid w:val="00B3790B"/>
    <w:rsid w:val="00B601F0"/>
    <w:rsid w:val="00BA76D5"/>
    <w:rsid w:val="00C47610"/>
    <w:rsid w:val="00D4288B"/>
    <w:rsid w:val="00DC1503"/>
    <w:rsid w:val="00E555F5"/>
    <w:rsid w:val="00F077A8"/>
    <w:rsid w:val="00F77A0E"/>
    <w:rsid w:val="00F81FC9"/>
    <w:rsid w:val="00FA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5077"/>
    <w:pPr>
      <w:autoSpaceDE w:val="0"/>
      <w:autoSpaceDN w:val="0"/>
      <w:adjustRightInd w:val="0"/>
    </w:pPr>
    <w:rPr>
      <w:rFonts w:cs="Times New Roman"/>
      <w:sz w:val="20"/>
      <w:szCs w:val="20"/>
    </w:rPr>
  </w:style>
  <w:style w:type="character" w:customStyle="1" w:styleId="FootnoteTextChar">
    <w:name w:val="Footnote Text Char"/>
    <w:basedOn w:val="DefaultParagraphFont"/>
    <w:link w:val="FootnoteText"/>
    <w:uiPriority w:val="99"/>
    <w:semiHidden/>
    <w:rsid w:val="007C5077"/>
    <w:rPr>
      <w:rFonts w:cs="Times New Roman"/>
      <w:sz w:val="20"/>
      <w:szCs w:val="20"/>
    </w:rPr>
  </w:style>
  <w:style w:type="character" w:styleId="FootnoteReference">
    <w:name w:val="footnote reference"/>
    <w:basedOn w:val="DefaultParagraphFont"/>
    <w:uiPriority w:val="99"/>
    <w:semiHidden/>
    <w:unhideWhenUsed/>
    <w:rsid w:val="007C5077"/>
    <w:rPr>
      <w:vertAlign w:val="superscript"/>
    </w:rPr>
  </w:style>
  <w:style w:type="character" w:styleId="LineNumber">
    <w:name w:val="line number"/>
    <w:basedOn w:val="DefaultParagraphFont"/>
    <w:uiPriority w:val="99"/>
    <w:semiHidden/>
    <w:unhideWhenUsed/>
    <w:rsid w:val="00162AF6"/>
  </w:style>
  <w:style w:type="paragraph" w:styleId="Header">
    <w:name w:val="header"/>
    <w:basedOn w:val="Normal"/>
    <w:link w:val="HeaderChar"/>
    <w:uiPriority w:val="99"/>
    <w:unhideWhenUsed/>
    <w:rsid w:val="00704E7C"/>
    <w:pPr>
      <w:tabs>
        <w:tab w:val="center" w:pos="4680"/>
        <w:tab w:val="right" w:pos="9360"/>
      </w:tabs>
    </w:pPr>
  </w:style>
  <w:style w:type="character" w:customStyle="1" w:styleId="HeaderChar">
    <w:name w:val="Header Char"/>
    <w:basedOn w:val="DefaultParagraphFont"/>
    <w:link w:val="Header"/>
    <w:uiPriority w:val="99"/>
    <w:rsid w:val="00704E7C"/>
  </w:style>
  <w:style w:type="paragraph" w:styleId="Footer">
    <w:name w:val="footer"/>
    <w:basedOn w:val="Normal"/>
    <w:link w:val="FooterChar"/>
    <w:uiPriority w:val="99"/>
    <w:unhideWhenUsed/>
    <w:rsid w:val="00704E7C"/>
    <w:pPr>
      <w:tabs>
        <w:tab w:val="center" w:pos="4680"/>
        <w:tab w:val="right" w:pos="9360"/>
      </w:tabs>
    </w:pPr>
  </w:style>
  <w:style w:type="character" w:customStyle="1" w:styleId="FooterChar">
    <w:name w:val="Footer Char"/>
    <w:basedOn w:val="DefaultParagraphFont"/>
    <w:link w:val="Footer"/>
    <w:uiPriority w:val="99"/>
    <w:rsid w:val="00704E7C"/>
  </w:style>
  <w:style w:type="paragraph" w:styleId="BalloonText">
    <w:name w:val="Balloon Text"/>
    <w:basedOn w:val="Normal"/>
    <w:link w:val="BalloonTextChar"/>
    <w:uiPriority w:val="99"/>
    <w:semiHidden/>
    <w:unhideWhenUsed/>
    <w:rsid w:val="00704E7C"/>
    <w:rPr>
      <w:rFonts w:ascii="Tahoma" w:hAnsi="Tahoma" w:cs="Tahoma"/>
      <w:sz w:val="16"/>
      <w:szCs w:val="16"/>
    </w:rPr>
  </w:style>
  <w:style w:type="character" w:customStyle="1" w:styleId="BalloonTextChar">
    <w:name w:val="Balloon Text Char"/>
    <w:basedOn w:val="DefaultParagraphFont"/>
    <w:link w:val="BalloonText"/>
    <w:uiPriority w:val="99"/>
    <w:semiHidden/>
    <w:rsid w:val="00704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5077"/>
    <w:pPr>
      <w:autoSpaceDE w:val="0"/>
      <w:autoSpaceDN w:val="0"/>
      <w:adjustRightInd w:val="0"/>
    </w:pPr>
    <w:rPr>
      <w:rFonts w:cs="Times New Roman"/>
      <w:sz w:val="20"/>
      <w:szCs w:val="20"/>
    </w:rPr>
  </w:style>
  <w:style w:type="character" w:customStyle="1" w:styleId="FootnoteTextChar">
    <w:name w:val="Footnote Text Char"/>
    <w:basedOn w:val="DefaultParagraphFont"/>
    <w:link w:val="FootnoteText"/>
    <w:uiPriority w:val="99"/>
    <w:semiHidden/>
    <w:rsid w:val="007C5077"/>
    <w:rPr>
      <w:rFonts w:cs="Times New Roman"/>
      <w:sz w:val="20"/>
      <w:szCs w:val="20"/>
    </w:rPr>
  </w:style>
  <w:style w:type="character" w:styleId="FootnoteReference">
    <w:name w:val="footnote reference"/>
    <w:basedOn w:val="DefaultParagraphFont"/>
    <w:uiPriority w:val="99"/>
    <w:semiHidden/>
    <w:unhideWhenUsed/>
    <w:rsid w:val="007C5077"/>
    <w:rPr>
      <w:vertAlign w:val="superscript"/>
    </w:rPr>
  </w:style>
  <w:style w:type="character" w:styleId="LineNumber">
    <w:name w:val="line number"/>
    <w:basedOn w:val="DefaultParagraphFont"/>
    <w:uiPriority w:val="99"/>
    <w:semiHidden/>
    <w:unhideWhenUsed/>
    <w:rsid w:val="00162AF6"/>
  </w:style>
  <w:style w:type="paragraph" w:styleId="Header">
    <w:name w:val="header"/>
    <w:basedOn w:val="Normal"/>
    <w:link w:val="HeaderChar"/>
    <w:uiPriority w:val="99"/>
    <w:unhideWhenUsed/>
    <w:rsid w:val="00704E7C"/>
    <w:pPr>
      <w:tabs>
        <w:tab w:val="center" w:pos="4680"/>
        <w:tab w:val="right" w:pos="9360"/>
      </w:tabs>
    </w:pPr>
  </w:style>
  <w:style w:type="character" w:customStyle="1" w:styleId="HeaderChar">
    <w:name w:val="Header Char"/>
    <w:basedOn w:val="DefaultParagraphFont"/>
    <w:link w:val="Header"/>
    <w:uiPriority w:val="99"/>
    <w:rsid w:val="00704E7C"/>
  </w:style>
  <w:style w:type="paragraph" w:styleId="Footer">
    <w:name w:val="footer"/>
    <w:basedOn w:val="Normal"/>
    <w:link w:val="FooterChar"/>
    <w:uiPriority w:val="99"/>
    <w:unhideWhenUsed/>
    <w:rsid w:val="00704E7C"/>
    <w:pPr>
      <w:tabs>
        <w:tab w:val="center" w:pos="4680"/>
        <w:tab w:val="right" w:pos="9360"/>
      </w:tabs>
    </w:pPr>
  </w:style>
  <w:style w:type="character" w:customStyle="1" w:styleId="FooterChar">
    <w:name w:val="Footer Char"/>
    <w:basedOn w:val="DefaultParagraphFont"/>
    <w:link w:val="Footer"/>
    <w:uiPriority w:val="99"/>
    <w:rsid w:val="00704E7C"/>
  </w:style>
  <w:style w:type="paragraph" w:styleId="BalloonText">
    <w:name w:val="Balloon Text"/>
    <w:basedOn w:val="Normal"/>
    <w:link w:val="BalloonTextChar"/>
    <w:uiPriority w:val="99"/>
    <w:semiHidden/>
    <w:unhideWhenUsed/>
    <w:rsid w:val="00704E7C"/>
    <w:rPr>
      <w:rFonts w:ascii="Tahoma" w:hAnsi="Tahoma" w:cs="Tahoma"/>
      <w:sz w:val="16"/>
      <w:szCs w:val="16"/>
    </w:rPr>
  </w:style>
  <w:style w:type="character" w:customStyle="1" w:styleId="BalloonTextChar">
    <w:name w:val="Balloon Text Char"/>
    <w:basedOn w:val="DefaultParagraphFont"/>
    <w:link w:val="BalloonText"/>
    <w:uiPriority w:val="99"/>
    <w:semiHidden/>
    <w:rsid w:val="00704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8222D-9B54-4682-9DC0-9189111B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AOUSC</cp:lastModifiedBy>
  <cp:revision>18</cp:revision>
  <cp:lastPrinted>2016-04-18T22:31:00Z</cp:lastPrinted>
  <dcterms:created xsi:type="dcterms:W3CDTF">2015-06-12T14:52:00Z</dcterms:created>
  <dcterms:modified xsi:type="dcterms:W3CDTF">2016-04-18T22:31:00Z</dcterms:modified>
</cp:coreProperties>
</file>