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0CA11" w14:textId="77777777" w:rsidR="00431137" w:rsidRPr="00431137" w:rsidRDefault="00431137">
      <w:pPr>
        <w:widowControl/>
        <w:rPr>
          <w:rFonts w:ascii="Arial" w:hAnsi="Arial" w:cs="Arial"/>
          <w:sz w:val="24"/>
          <w:szCs w:val="24"/>
        </w:rPr>
      </w:pPr>
      <w:r w:rsidRPr="00431137">
        <w:rPr>
          <w:rFonts w:ascii="Arial" w:hAnsi="Arial" w:cs="Arial"/>
          <w:sz w:val="24"/>
          <w:szCs w:val="24"/>
          <w:lang w:val="en-CA"/>
        </w:rPr>
        <w:fldChar w:fldCharType="begin"/>
      </w:r>
      <w:r w:rsidRPr="00431137">
        <w:rPr>
          <w:rFonts w:ascii="Arial" w:hAnsi="Arial" w:cs="Arial"/>
          <w:sz w:val="24"/>
          <w:szCs w:val="24"/>
          <w:lang w:val="en-CA"/>
        </w:rPr>
        <w:instrText xml:space="preserve"> SEQ CHAPTER \h \r 1</w:instrText>
      </w:r>
      <w:r w:rsidRPr="00431137">
        <w:rPr>
          <w:rFonts w:ascii="Arial" w:hAnsi="Arial" w:cs="Arial"/>
          <w:sz w:val="24"/>
          <w:szCs w:val="24"/>
          <w:lang w:val="en-CA"/>
        </w:rPr>
        <w:fldChar w:fldCharType="end"/>
      </w:r>
      <w:r w:rsidRPr="00431137">
        <w:rPr>
          <w:rFonts w:ascii="Arial" w:hAnsi="Arial" w:cs="Arial"/>
          <w:b/>
          <w:bCs/>
          <w:sz w:val="32"/>
          <w:szCs w:val="32"/>
        </w:rPr>
        <w:t>Guide to Judiciary Policy</w:t>
      </w:r>
    </w:p>
    <w:p w14:paraId="4B34F0ED" w14:textId="77777777" w:rsidR="00431137" w:rsidRPr="00431137" w:rsidRDefault="00431137">
      <w:pPr>
        <w:widowControl/>
        <w:rPr>
          <w:rFonts w:ascii="Arial" w:hAnsi="Arial" w:cs="Arial"/>
          <w:sz w:val="24"/>
          <w:szCs w:val="24"/>
        </w:rPr>
      </w:pPr>
    </w:p>
    <w:p w14:paraId="490B8C96" w14:textId="77777777" w:rsidR="00431137" w:rsidRPr="00431137" w:rsidRDefault="00431137">
      <w:pPr>
        <w:widowControl/>
        <w:rPr>
          <w:rFonts w:ascii="Arial" w:hAnsi="Arial" w:cs="Arial"/>
          <w:sz w:val="24"/>
          <w:szCs w:val="24"/>
        </w:rPr>
      </w:pPr>
      <w:r w:rsidRPr="00431137">
        <w:rPr>
          <w:rFonts w:ascii="Arial" w:hAnsi="Arial" w:cs="Arial"/>
          <w:sz w:val="24"/>
          <w:szCs w:val="24"/>
        </w:rPr>
        <w:t>Vol</w:t>
      </w:r>
      <w:r w:rsidR="00C9453F">
        <w:rPr>
          <w:rFonts w:ascii="Arial" w:hAnsi="Arial" w:cs="Arial"/>
          <w:sz w:val="24"/>
          <w:szCs w:val="24"/>
        </w:rPr>
        <w:t>.</w:t>
      </w:r>
      <w:r w:rsidRPr="00431137">
        <w:rPr>
          <w:rFonts w:ascii="Arial" w:hAnsi="Arial" w:cs="Arial"/>
          <w:sz w:val="24"/>
          <w:szCs w:val="24"/>
        </w:rPr>
        <w:t xml:space="preserve"> 7: Defender Services</w:t>
      </w:r>
    </w:p>
    <w:p w14:paraId="5B1D4430" w14:textId="77777777" w:rsidR="00431137" w:rsidRDefault="00431137">
      <w:pPr>
        <w:widowControl/>
        <w:rPr>
          <w:rFonts w:ascii="Arial" w:hAnsi="Arial" w:cs="Arial"/>
          <w:sz w:val="24"/>
          <w:szCs w:val="24"/>
        </w:rPr>
      </w:pPr>
      <w:r w:rsidRPr="00431137">
        <w:rPr>
          <w:rFonts w:ascii="Arial" w:hAnsi="Arial" w:cs="Arial"/>
          <w:sz w:val="24"/>
          <w:szCs w:val="24"/>
        </w:rPr>
        <w:t>Pt</w:t>
      </w:r>
      <w:r w:rsidR="00C9453F">
        <w:rPr>
          <w:rFonts w:ascii="Arial" w:hAnsi="Arial" w:cs="Arial"/>
          <w:sz w:val="24"/>
          <w:szCs w:val="24"/>
        </w:rPr>
        <w:t>.</w:t>
      </w:r>
      <w:r w:rsidRPr="00431137">
        <w:rPr>
          <w:rFonts w:ascii="Arial" w:hAnsi="Arial" w:cs="Arial"/>
          <w:sz w:val="24"/>
          <w:szCs w:val="24"/>
        </w:rPr>
        <w:t xml:space="preserve"> A: Guidelines for Administering the CJA and Related Statutes</w:t>
      </w:r>
    </w:p>
    <w:p w14:paraId="0CCDBC48" w14:textId="77777777" w:rsidR="00D43691" w:rsidRDefault="00D43691" w:rsidP="00D43691">
      <w:pPr>
        <w:pStyle w:val="pdeck"/>
      </w:pPr>
      <w:r>
        <w:t>Ch. 3: Authorization and Payment for Investigative, Expert, or Other Services</w:t>
      </w:r>
    </w:p>
    <w:p w14:paraId="4BBCDDA3" w14:textId="77777777" w:rsidR="00431137" w:rsidRPr="00431137" w:rsidRDefault="00431137">
      <w:pPr>
        <w:widowControl/>
        <w:tabs>
          <w:tab w:val="left" w:pos="720"/>
        </w:tabs>
        <w:ind w:left="720" w:hanging="720"/>
        <w:rPr>
          <w:rFonts w:ascii="Arial" w:hAnsi="Arial" w:cs="Arial"/>
          <w:sz w:val="24"/>
          <w:szCs w:val="24"/>
        </w:rPr>
      </w:pPr>
      <w:r w:rsidRPr="00431137">
        <w:rPr>
          <w:rFonts w:ascii="Arial" w:hAnsi="Arial" w:cs="Arial"/>
          <w:b/>
          <w:bCs/>
          <w:sz w:val="28"/>
          <w:szCs w:val="28"/>
        </w:rPr>
        <w:t>Appx</w:t>
      </w:r>
      <w:r w:rsidR="00C9453F">
        <w:rPr>
          <w:rFonts w:ascii="Arial" w:hAnsi="Arial" w:cs="Arial"/>
          <w:b/>
          <w:bCs/>
          <w:sz w:val="28"/>
          <w:szCs w:val="28"/>
        </w:rPr>
        <w:t>.</w:t>
      </w:r>
      <w:r w:rsidRPr="00431137">
        <w:rPr>
          <w:rFonts w:ascii="Arial" w:hAnsi="Arial" w:cs="Arial"/>
          <w:b/>
          <w:bCs/>
          <w:sz w:val="28"/>
          <w:szCs w:val="28"/>
        </w:rPr>
        <w:t xml:space="preserve"> 3D: Sample Order Authorizing the Acquisition of Computer [Hardware and/or Software] Under the CJA</w:t>
      </w:r>
    </w:p>
    <w:p w14:paraId="278F9AFF" w14:textId="77777777" w:rsidR="00431137" w:rsidRPr="00431137" w:rsidRDefault="00431137">
      <w:pPr>
        <w:widowControl/>
        <w:rPr>
          <w:rFonts w:ascii="Arial" w:hAnsi="Arial" w:cs="Arial"/>
          <w:sz w:val="24"/>
          <w:szCs w:val="24"/>
        </w:rPr>
      </w:pPr>
    </w:p>
    <w:p w14:paraId="4B39E7E0" w14:textId="77777777" w:rsidR="00431137" w:rsidRPr="00431137" w:rsidRDefault="00431137">
      <w:pPr>
        <w:widowControl/>
        <w:rPr>
          <w:rFonts w:ascii="Arial" w:hAnsi="Arial" w:cs="Arial"/>
          <w:sz w:val="24"/>
          <w:szCs w:val="24"/>
        </w:rPr>
      </w:pPr>
    </w:p>
    <w:p w14:paraId="078161E8" w14:textId="77777777" w:rsidR="00431137" w:rsidRPr="00431137" w:rsidRDefault="00431137">
      <w:pPr>
        <w:widowControl/>
        <w:rPr>
          <w:rFonts w:ascii="Arial" w:hAnsi="Arial" w:cs="Arial"/>
          <w:sz w:val="24"/>
          <w:szCs w:val="24"/>
        </w:rPr>
      </w:pPr>
      <w:r w:rsidRPr="00431137">
        <w:rPr>
          <w:rFonts w:ascii="Arial" w:hAnsi="Arial" w:cs="Arial"/>
          <w:sz w:val="24"/>
          <w:szCs w:val="24"/>
        </w:rPr>
        <w:t>(</w:t>
      </w:r>
      <w:r w:rsidRPr="00431137">
        <w:rPr>
          <w:rFonts w:ascii="Arial" w:hAnsi="Arial" w:cs="Arial"/>
          <w:b/>
          <w:bCs/>
          <w:sz w:val="24"/>
          <w:szCs w:val="24"/>
        </w:rPr>
        <w:t>Note:</w:t>
      </w:r>
      <w:r w:rsidRPr="00431137">
        <w:rPr>
          <w:rFonts w:ascii="Arial" w:hAnsi="Arial" w:cs="Arial"/>
          <w:sz w:val="24"/>
          <w:szCs w:val="24"/>
        </w:rPr>
        <w:t xml:space="preserve"> </w:t>
      </w:r>
      <w:r w:rsidR="00C45A5B">
        <w:rPr>
          <w:rFonts w:ascii="Arial" w:hAnsi="Arial" w:cs="Arial"/>
          <w:sz w:val="24"/>
          <w:szCs w:val="24"/>
        </w:rPr>
        <w:t xml:space="preserve"> </w:t>
      </w:r>
      <w:r w:rsidRPr="00431137">
        <w:rPr>
          <w:rFonts w:ascii="Arial" w:hAnsi="Arial" w:cs="Arial"/>
          <w:sz w:val="24"/>
          <w:szCs w:val="24"/>
        </w:rPr>
        <w:t>Footnotes explain options or provide suggestions to the presiding judicial officer.)</w:t>
      </w:r>
    </w:p>
    <w:p w14:paraId="0995B97B" w14:textId="77777777" w:rsidR="00431137" w:rsidRDefault="00431137">
      <w:pPr>
        <w:widowControl/>
        <w:rPr>
          <w:rFonts w:ascii="Arial" w:hAnsi="Arial" w:cs="Arial"/>
          <w:sz w:val="24"/>
          <w:szCs w:val="24"/>
        </w:rPr>
      </w:pPr>
    </w:p>
    <w:p w14:paraId="4FF96000" w14:textId="77777777" w:rsidR="00431137" w:rsidRDefault="00431137">
      <w:pPr>
        <w:widowControl/>
        <w:rPr>
          <w:rFonts w:ascii="Arial" w:hAnsi="Arial" w:cs="Arial"/>
          <w:sz w:val="24"/>
          <w:szCs w:val="24"/>
        </w:rPr>
      </w:pPr>
    </w:p>
    <w:p w14:paraId="2CE4C24F" w14:textId="77777777" w:rsidR="00431137" w:rsidRPr="00431137" w:rsidRDefault="00431137">
      <w:pPr>
        <w:widowControl/>
        <w:rPr>
          <w:rFonts w:ascii="Arial" w:hAnsi="Arial" w:cs="Arial"/>
          <w:sz w:val="24"/>
          <w:szCs w:val="24"/>
        </w:rPr>
      </w:pPr>
    </w:p>
    <w:p w14:paraId="5EFF1029" w14:textId="77777777" w:rsidR="00431137" w:rsidRPr="00431137" w:rsidRDefault="00431137">
      <w:pPr>
        <w:widowControl/>
        <w:jc w:val="center"/>
        <w:rPr>
          <w:rFonts w:ascii="Arial" w:hAnsi="Arial" w:cs="Arial"/>
          <w:sz w:val="24"/>
          <w:szCs w:val="24"/>
        </w:rPr>
      </w:pPr>
      <w:r w:rsidRPr="00431137">
        <w:rPr>
          <w:rFonts w:ascii="Arial" w:hAnsi="Arial" w:cs="Arial"/>
          <w:sz w:val="24"/>
          <w:szCs w:val="24"/>
        </w:rPr>
        <w:t xml:space="preserve">IN THE UNITED STATES DISTRICT COURT </w:t>
      </w:r>
    </w:p>
    <w:p w14:paraId="7A1BEF53" w14:textId="77777777" w:rsidR="00431137" w:rsidRPr="00431137" w:rsidRDefault="00431137">
      <w:pPr>
        <w:widowControl/>
        <w:jc w:val="center"/>
        <w:rPr>
          <w:rFonts w:ascii="Arial" w:hAnsi="Arial" w:cs="Arial"/>
          <w:sz w:val="24"/>
          <w:szCs w:val="24"/>
        </w:rPr>
      </w:pPr>
      <w:r w:rsidRPr="00431137">
        <w:rPr>
          <w:rFonts w:ascii="Arial" w:hAnsi="Arial" w:cs="Arial"/>
          <w:sz w:val="24"/>
          <w:szCs w:val="24"/>
        </w:rPr>
        <w:t>FOR THE _______ DISTRICT OF ________</w:t>
      </w:r>
    </w:p>
    <w:p w14:paraId="1CB93BB7" w14:textId="77777777" w:rsidR="00431137" w:rsidRPr="00431137" w:rsidRDefault="00431137">
      <w:pPr>
        <w:widowControl/>
        <w:rPr>
          <w:rFonts w:ascii="Arial" w:hAnsi="Arial" w:cs="Arial"/>
          <w:sz w:val="24"/>
          <w:szCs w:val="24"/>
        </w:rPr>
      </w:pPr>
    </w:p>
    <w:p w14:paraId="09349900" w14:textId="77777777" w:rsidR="00431137" w:rsidRPr="00431137" w:rsidRDefault="00431137">
      <w:pPr>
        <w:widowControl/>
        <w:rPr>
          <w:rFonts w:ascii="Arial" w:hAnsi="Arial" w:cs="Arial"/>
          <w:sz w:val="24"/>
          <w:szCs w:val="24"/>
        </w:rPr>
      </w:pPr>
      <w:r w:rsidRPr="00431137">
        <w:rPr>
          <w:rFonts w:ascii="Arial" w:hAnsi="Arial" w:cs="Arial"/>
          <w:sz w:val="24"/>
          <w:szCs w:val="24"/>
        </w:rPr>
        <w:t>United States of America</w:t>
      </w:r>
    </w:p>
    <w:p w14:paraId="41DE4D59" w14:textId="77777777" w:rsidR="00431137" w:rsidRPr="00431137" w:rsidRDefault="00431137">
      <w:pPr>
        <w:widowControl/>
        <w:rPr>
          <w:rFonts w:ascii="Arial" w:hAnsi="Arial" w:cs="Arial"/>
          <w:sz w:val="24"/>
          <w:szCs w:val="24"/>
        </w:rPr>
      </w:pPr>
    </w:p>
    <w:p w14:paraId="084A1997" w14:textId="77777777" w:rsidR="00431137" w:rsidRPr="00431137" w:rsidRDefault="00431137">
      <w:pPr>
        <w:widowControl/>
        <w:rPr>
          <w:rFonts w:ascii="Arial" w:hAnsi="Arial" w:cs="Arial"/>
          <w:sz w:val="24"/>
          <w:szCs w:val="24"/>
        </w:rPr>
      </w:pPr>
      <w:r w:rsidRPr="00431137">
        <w:rPr>
          <w:rFonts w:ascii="Arial" w:hAnsi="Arial" w:cs="Arial"/>
          <w:sz w:val="24"/>
          <w:szCs w:val="24"/>
        </w:rPr>
        <w:t>v.</w:t>
      </w:r>
    </w:p>
    <w:p w14:paraId="1DC4698F" w14:textId="77777777" w:rsidR="00431137" w:rsidRPr="00431137" w:rsidRDefault="00431137">
      <w:pPr>
        <w:widowControl/>
        <w:rPr>
          <w:rFonts w:ascii="Arial" w:hAnsi="Arial" w:cs="Arial"/>
          <w:sz w:val="24"/>
          <w:szCs w:val="24"/>
        </w:rPr>
        <w:sectPr w:rsidR="00431137" w:rsidRPr="00431137" w:rsidSect="00AE329D">
          <w:headerReference w:type="default" r:id="rId7"/>
          <w:footerReference w:type="default" r:id="rId8"/>
          <w:footerReference w:type="first" r:id="rId9"/>
          <w:endnotePr>
            <w:numFmt w:val="decimal"/>
            <w:numStart w:val="7"/>
          </w:endnotePr>
          <w:type w:val="continuous"/>
          <w:pgSz w:w="12240" w:h="15840"/>
          <w:pgMar w:top="1440" w:right="1440" w:bottom="1440" w:left="1440" w:header="1152" w:footer="1152" w:gutter="0"/>
          <w:cols w:space="720"/>
          <w:noEndnote/>
          <w:titlePg/>
          <w:docGrid w:linePitch="272"/>
        </w:sectPr>
      </w:pPr>
    </w:p>
    <w:p w14:paraId="1312532A" w14:textId="77777777" w:rsidR="00431137" w:rsidRPr="00431137" w:rsidRDefault="00431137">
      <w:pPr>
        <w:widowControl/>
        <w:rPr>
          <w:rFonts w:ascii="Arial" w:hAnsi="Arial" w:cs="Arial"/>
          <w:sz w:val="24"/>
          <w:szCs w:val="24"/>
        </w:rPr>
      </w:pPr>
      <w:r w:rsidRPr="00431137">
        <w:rPr>
          <w:rFonts w:ascii="Arial" w:hAnsi="Arial" w:cs="Arial"/>
          <w:sz w:val="24"/>
          <w:szCs w:val="24"/>
        </w:rPr>
        <w:t xml:space="preserve">                                                                        No. </w:t>
      </w:r>
      <w:r w:rsidRPr="00431137">
        <w:rPr>
          <w:rFonts w:ascii="Arial" w:hAnsi="Arial" w:cs="Arial"/>
          <w:sz w:val="24"/>
          <w:szCs w:val="24"/>
          <w:u w:val="single"/>
        </w:rPr>
        <w:t xml:space="preserve">            </w:t>
      </w:r>
    </w:p>
    <w:p w14:paraId="410D3F49" w14:textId="77777777" w:rsidR="00431137" w:rsidRDefault="00431137">
      <w:pPr>
        <w:widowControl/>
        <w:rPr>
          <w:rFonts w:ascii="Arial" w:hAnsi="Arial" w:cs="Arial"/>
          <w:sz w:val="24"/>
          <w:szCs w:val="24"/>
        </w:rPr>
      </w:pPr>
    </w:p>
    <w:p w14:paraId="3441A2DF" w14:textId="77777777" w:rsidR="00C45A5B" w:rsidRPr="00431137" w:rsidRDefault="00C45A5B">
      <w:pPr>
        <w:widowControl/>
        <w:rPr>
          <w:rFonts w:ascii="Arial" w:hAnsi="Arial" w:cs="Arial"/>
          <w:sz w:val="24"/>
          <w:szCs w:val="24"/>
        </w:rPr>
      </w:pPr>
    </w:p>
    <w:p w14:paraId="55120633" w14:textId="77777777" w:rsidR="00431137" w:rsidRPr="00431137" w:rsidRDefault="00431137">
      <w:pPr>
        <w:widowControl/>
        <w:rPr>
          <w:rFonts w:ascii="Arial" w:hAnsi="Arial" w:cs="Arial"/>
          <w:sz w:val="24"/>
          <w:szCs w:val="24"/>
        </w:rPr>
      </w:pPr>
      <w:r w:rsidRPr="00431137">
        <w:rPr>
          <w:rFonts w:ascii="Arial" w:hAnsi="Arial" w:cs="Arial"/>
          <w:sz w:val="24"/>
          <w:szCs w:val="24"/>
        </w:rPr>
        <w:t xml:space="preserve">Defendant #1                           </w:t>
      </w:r>
      <w:r>
        <w:rPr>
          <w:rFonts w:ascii="Arial" w:hAnsi="Arial" w:cs="Arial"/>
          <w:sz w:val="24"/>
          <w:szCs w:val="24"/>
        </w:rPr>
        <w:t xml:space="preserve"> </w:t>
      </w:r>
      <w:r w:rsidRPr="00431137">
        <w:rPr>
          <w:rFonts w:ascii="Arial" w:hAnsi="Arial" w:cs="Arial"/>
          <w:sz w:val="24"/>
          <w:szCs w:val="24"/>
        </w:rPr>
        <w:t xml:space="preserve">      ORDER AUTHORIZING ACQUISITION</w:t>
      </w:r>
    </w:p>
    <w:p w14:paraId="2F84AD6B" w14:textId="77777777" w:rsidR="00431137" w:rsidRPr="00431137" w:rsidRDefault="00431137">
      <w:pPr>
        <w:widowControl/>
        <w:rPr>
          <w:rFonts w:ascii="Arial" w:hAnsi="Arial" w:cs="Arial"/>
          <w:sz w:val="24"/>
          <w:szCs w:val="24"/>
        </w:rPr>
      </w:pPr>
      <w:r w:rsidRPr="00431137">
        <w:rPr>
          <w:rFonts w:ascii="Arial" w:hAnsi="Arial" w:cs="Arial"/>
          <w:sz w:val="24"/>
          <w:szCs w:val="24"/>
        </w:rPr>
        <w:t>Defendant #2                                  OF [HARDWARE AND/OR SOFTWARE]</w:t>
      </w:r>
    </w:p>
    <w:p w14:paraId="0FFDA203" w14:textId="77777777" w:rsidR="00431137" w:rsidRPr="00431137" w:rsidRDefault="00431137">
      <w:pPr>
        <w:widowControl/>
        <w:rPr>
          <w:rFonts w:ascii="Arial" w:hAnsi="Arial" w:cs="Arial"/>
          <w:sz w:val="24"/>
          <w:szCs w:val="24"/>
        </w:rPr>
      </w:pPr>
      <w:r w:rsidRPr="00431137">
        <w:rPr>
          <w:rFonts w:ascii="Arial" w:hAnsi="Arial" w:cs="Arial"/>
          <w:sz w:val="24"/>
          <w:szCs w:val="24"/>
        </w:rPr>
        <w:t>Defendant #3                                  UNDER THE CRIMINAL JUSTICE ACT</w:t>
      </w:r>
    </w:p>
    <w:p w14:paraId="103D1327" w14:textId="77777777" w:rsidR="00431137" w:rsidRPr="00431137" w:rsidRDefault="00431137">
      <w:pPr>
        <w:widowControl/>
        <w:rPr>
          <w:rFonts w:ascii="Arial" w:hAnsi="Arial" w:cs="Arial"/>
          <w:sz w:val="24"/>
          <w:szCs w:val="24"/>
        </w:rPr>
      </w:pPr>
      <w:r w:rsidRPr="00431137">
        <w:rPr>
          <w:rFonts w:ascii="Arial" w:hAnsi="Arial" w:cs="Arial"/>
          <w:sz w:val="24"/>
          <w:szCs w:val="24"/>
        </w:rPr>
        <w:t>Defendan</w:t>
      </w:r>
      <w:r>
        <w:rPr>
          <w:rFonts w:ascii="Arial" w:hAnsi="Arial" w:cs="Arial"/>
          <w:sz w:val="24"/>
          <w:szCs w:val="24"/>
        </w:rPr>
        <w:t>t #4</w:t>
      </w:r>
    </w:p>
    <w:p w14:paraId="12146C47" w14:textId="77777777" w:rsidR="00C45A5B" w:rsidRPr="00431137" w:rsidRDefault="00C45A5B">
      <w:pPr>
        <w:widowControl/>
        <w:rPr>
          <w:rFonts w:ascii="Arial" w:hAnsi="Arial" w:cs="Arial"/>
          <w:sz w:val="24"/>
          <w:szCs w:val="24"/>
        </w:rPr>
      </w:pPr>
    </w:p>
    <w:p w14:paraId="348AA09B" w14:textId="77777777" w:rsidR="00431137" w:rsidRPr="00431137" w:rsidRDefault="00431137">
      <w:pPr>
        <w:widowControl/>
        <w:rPr>
          <w:rFonts w:ascii="Arial" w:hAnsi="Arial" w:cs="Arial"/>
          <w:sz w:val="24"/>
          <w:szCs w:val="24"/>
        </w:rPr>
      </w:pPr>
      <w:r w:rsidRPr="00431137">
        <w:rPr>
          <w:rFonts w:ascii="Arial" w:hAnsi="Arial" w:cs="Arial"/>
          <w:sz w:val="24"/>
          <w:szCs w:val="24"/>
        </w:rPr>
        <w:t>___________________________________________________________________</w:t>
      </w:r>
    </w:p>
    <w:p w14:paraId="454038B8" w14:textId="77777777" w:rsidR="00431137" w:rsidRPr="00431137" w:rsidRDefault="00431137">
      <w:pPr>
        <w:widowControl/>
        <w:rPr>
          <w:rFonts w:ascii="Arial" w:hAnsi="Arial" w:cs="Arial"/>
          <w:sz w:val="24"/>
          <w:szCs w:val="24"/>
        </w:rPr>
      </w:pPr>
    </w:p>
    <w:p w14:paraId="4BCCBF96" w14:textId="77777777" w:rsidR="00431137" w:rsidRPr="00431137" w:rsidRDefault="00431137">
      <w:pPr>
        <w:widowControl/>
        <w:rPr>
          <w:rFonts w:ascii="Arial" w:hAnsi="Arial" w:cs="Arial"/>
          <w:sz w:val="24"/>
          <w:szCs w:val="24"/>
        </w:rPr>
      </w:pPr>
      <w:r w:rsidRPr="00431137">
        <w:rPr>
          <w:rFonts w:ascii="Arial" w:hAnsi="Arial" w:cs="Arial"/>
          <w:sz w:val="24"/>
          <w:szCs w:val="24"/>
        </w:rPr>
        <w:t>The above-named defendants,</w:t>
      </w:r>
      <w:r w:rsidRPr="00431137">
        <w:rPr>
          <w:rFonts w:ascii="Arial" w:hAnsi="Arial" w:cs="Arial"/>
          <w:sz w:val="24"/>
          <w:szCs w:val="24"/>
          <w:vertAlign w:val="superscript"/>
        </w:rPr>
        <w:footnoteReference w:customMarkFollows="1" w:id="1"/>
        <w:t>1</w:t>
      </w:r>
      <w:r>
        <w:rPr>
          <w:rFonts w:ascii="Arial" w:hAnsi="Arial" w:cs="Arial"/>
          <w:sz w:val="24"/>
          <w:szCs w:val="24"/>
          <w:vertAlign w:val="superscript"/>
        </w:rPr>
        <w:t xml:space="preserve"> </w:t>
      </w:r>
      <w:r w:rsidRPr="00431137">
        <w:rPr>
          <w:rFonts w:ascii="Arial" w:hAnsi="Arial" w:cs="Arial"/>
          <w:sz w:val="24"/>
          <w:szCs w:val="24"/>
        </w:rPr>
        <w:t xml:space="preserve">having been found to be eligible for services under the Criminal Justice Act (CJA), </w:t>
      </w:r>
      <w:hyperlink r:id="rId10" w:history="1">
        <w:r>
          <w:rPr>
            <w:rStyle w:val="SYSHYPERTEXT"/>
            <w:rFonts w:ascii="Arial" w:hAnsi="Arial" w:cs="Arial"/>
            <w:sz w:val="24"/>
            <w:szCs w:val="24"/>
          </w:rPr>
          <w:t>18 </w:t>
        </w:r>
        <w:r w:rsidRPr="00431137">
          <w:rPr>
            <w:rStyle w:val="SYSHYPERTEXT"/>
            <w:rFonts w:ascii="Arial" w:hAnsi="Arial" w:cs="Arial"/>
            <w:sz w:val="24"/>
            <w:szCs w:val="24"/>
          </w:rPr>
          <w:t>U.S.C. §</w:t>
        </w:r>
        <w:r>
          <w:rPr>
            <w:rStyle w:val="SYSHYPERTEXT"/>
            <w:rFonts w:ascii="Arial" w:hAnsi="Arial" w:cs="Arial"/>
            <w:sz w:val="24"/>
            <w:szCs w:val="24"/>
          </w:rPr>
          <w:t> </w:t>
        </w:r>
        <w:r w:rsidRPr="00431137">
          <w:rPr>
            <w:rStyle w:val="SYSHYPERTEXT"/>
            <w:rFonts w:ascii="Arial" w:hAnsi="Arial" w:cs="Arial"/>
            <w:sz w:val="24"/>
            <w:szCs w:val="24"/>
          </w:rPr>
          <w:t>3006A</w:t>
        </w:r>
      </w:hyperlink>
      <w:r w:rsidRPr="00431137">
        <w:rPr>
          <w:rFonts w:ascii="Arial" w:hAnsi="Arial" w:cs="Arial"/>
          <w:sz w:val="24"/>
          <w:szCs w:val="24"/>
        </w:rPr>
        <w:t xml:space="preserve">, have submitted an </w:t>
      </w:r>
      <w:r w:rsidRPr="00431137">
        <w:rPr>
          <w:rFonts w:ascii="Arial" w:hAnsi="Arial" w:cs="Arial"/>
          <w:i/>
          <w:iCs/>
          <w:sz w:val="24"/>
          <w:szCs w:val="24"/>
        </w:rPr>
        <w:t>ex parte</w:t>
      </w:r>
      <w:r w:rsidRPr="00431137">
        <w:rPr>
          <w:rFonts w:ascii="Arial" w:hAnsi="Arial" w:cs="Arial"/>
          <w:sz w:val="24"/>
          <w:szCs w:val="24"/>
          <w:vertAlign w:val="superscript"/>
        </w:rPr>
        <w:footnoteReference w:customMarkFollows="1" w:id="2"/>
        <w:t>2</w:t>
      </w:r>
      <w:r w:rsidRPr="00431137">
        <w:rPr>
          <w:rFonts w:ascii="Arial" w:hAnsi="Arial" w:cs="Arial"/>
          <w:sz w:val="24"/>
          <w:szCs w:val="24"/>
        </w:rPr>
        <w:t xml:space="preserve"> application </w:t>
      </w:r>
      <w:r w:rsidRPr="00431137">
        <w:rPr>
          <w:rFonts w:ascii="Arial" w:hAnsi="Arial" w:cs="Arial"/>
          <w:sz w:val="24"/>
          <w:szCs w:val="24"/>
        </w:rPr>
        <w:lastRenderedPageBreak/>
        <w:t>for the approval of CJA funds to purchase computer [hardware and/or software</w:t>
      </w:r>
      <w:r w:rsidRPr="00431137">
        <w:rPr>
          <w:rFonts w:ascii="Arial" w:hAnsi="Arial" w:cs="Arial"/>
          <w:sz w:val="24"/>
          <w:szCs w:val="24"/>
          <w:vertAlign w:val="superscript"/>
        </w:rPr>
        <w:footnoteReference w:customMarkFollows="1" w:id="3"/>
        <w:t>3</w:t>
      </w:r>
      <w:r w:rsidRPr="00431137">
        <w:rPr>
          <w:rFonts w:ascii="Arial" w:hAnsi="Arial" w:cs="Arial"/>
          <w:sz w:val="24"/>
          <w:szCs w:val="24"/>
        </w:rPr>
        <w:t xml:space="preserve">], </w:t>
      </w:r>
      <w:r w:rsidR="008C484B">
        <w:rPr>
          <w:rFonts w:ascii="Arial" w:hAnsi="Arial" w:cs="Arial"/>
          <w:sz w:val="24"/>
          <w:szCs w:val="24"/>
        </w:rPr>
        <w:t xml:space="preserve">litigation support products and/or obtain litigation support services, personnel or experts </w:t>
      </w:r>
      <w:r w:rsidRPr="00431137">
        <w:rPr>
          <w:rFonts w:ascii="Arial" w:hAnsi="Arial" w:cs="Arial"/>
          <w:sz w:val="24"/>
          <w:szCs w:val="24"/>
        </w:rPr>
        <w:t xml:space="preserve">as authorized by </w:t>
      </w:r>
      <w:hyperlink r:id="rId11" w:anchor="e" w:history="1">
        <w:r w:rsidRPr="00442E99">
          <w:rPr>
            <w:rStyle w:val="Hyperlink"/>
            <w:rFonts w:ascii="Arial" w:hAnsi="Arial" w:cs="Arial"/>
            <w:sz w:val="24"/>
            <w:szCs w:val="24"/>
          </w:rPr>
          <w:t>subsection (e) of the CJ</w:t>
        </w:r>
        <w:r w:rsidR="0006283C">
          <w:rPr>
            <w:rStyle w:val="Hyperlink"/>
            <w:rFonts w:ascii="Arial" w:hAnsi="Arial" w:cs="Arial"/>
            <w:sz w:val="24"/>
            <w:szCs w:val="24"/>
          </w:rPr>
          <w:t>A [</w:t>
        </w:r>
        <w:r w:rsidR="0006283C" w:rsidRPr="0006283C">
          <w:rPr>
            <w:rStyle w:val="Hyperlink"/>
            <w:rFonts w:ascii="Arial" w:hAnsi="Arial" w:cs="Arial"/>
            <w:sz w:val="24"/>
            <w:szCs w:val="24"/>
          </w:rPr>
          <w:t>18 U.S.C</w:t>
        </w:r>
        <w:r w:rsidR="0006283C">
          <w:rPr>
            <w:rStyle w:val="Hyperlink"/>
            <w:rFonts w:ascii="Arial" w:hAnsi="Arial" w:cs="Arial"/>
            <w:sz w:val="24"/>
            <w:szCs w:val="24"/>
          </w:rPr>
          <w:t>.</w:t>
        </w:r>
        <w:r w:rsidR="0006283C" w:rsidRPr="0006283C">
          <w:rPr>
            <w:rStyle w:val="Hyperlink"/>
            <w:rFonts w:ascii="Arial" w:hAnsi="Arial" w:cs="Arial"/>
            <w:sz w:val="24"/>
            <w:szCs w:val="24"/>
          </w:rPr>
          <w:t xml:space="preserve"> §</w:t>
        </w:r>
        <w:r w:rsidR="0006283C">
          <w:rPr>
            <w:rStyle w:val="Hyperlink"/>
            <w:rFonts w:ascii="Arial" w:hAnsi="Arial" w:cs="Arial"/>
            <w:sz w:val="24"/>
            <w:szCs w:val="24"/>
          </w:rPr>
          <w:t> </w:t>
        </w:r>
        <w:r w:rsidR="0006283C" w:rsidRPr="0006283C">
          <w:rPr>
            <w:rStyle w:val="Hyperlink"/>
            <w:rFonts w:ascii="Arial" w:hAnsi="Arial" w:cs="Arial"/>
            <w:sz w:val="24"/>
            <w:szCs w:val="24"/>
          </w:rPr>
          <w:t>3006A</w:t>
        </w:r>
        <w:r w:rsidR="0006283C">
          <w:rPr>
            <w:rStyle w:val="Hyperlink"/>
            <w:rFonts w:ascii="Arial" w:hAnsi="Arial" w:cs="Arial"/>
            <w:sz w:val="24"/>
            <w:szCs w:val="24"/>
          </w:rPr>
          <w:t>(e)]</w:t>
        </w:r>
      </w:hyperlink>
      <w:r w:rsidRPr="00431137">
        <w:rPr>
          <w:rFonts w:ascii="Arial" w:hAnsi="Arial" w:cs="Arial"/>
          <w:sz w:val="24"/>
          <w:szCs w:val="24"/>
        </w:rPr>
        <w:t>.</w:t>
      </w:r>
    </w:p>
    <w:p w14:paraId="08DEC80B" w14:textId="77777777" w:rsidR="00431137" w:rsidRPr="00431137" w:rsidRDefault="00431137">
      <w:pPr>
        <w:widowControl/>
        <w:rPr>
          <w:rFonts w:ascii="Arial" w:hAnsi="Arial" w:cs="Arial"/>
          <w:sz w:val="24"/>
          <w:szCs w:val="24"/>
        </w:rPr>
      </w:pPr>
    </w:p>
    <w:p w14:paraId="65AD0CB6" w14:textId="77777777" w:rsidR="00431137" w:rsidRPr="00431137" w:rsidRDefault="00431137">
      <w:pPr>
        <w:widowControl/>
        <w:rPr>
          <w:rFonts w:ascii="Arial" w:hAnsi="Arial" w:cs="Arial"/>
          <w:sz w:val="24"/>
          <w:szCs w:val="24"/>
        </w:rPr>
      </w:pPr>
      <w:r w:rsidRPr="00431137">
        <w:rPr>
          <w:rFonts w:ascii="Arial" w:hAnsi="Arial" w:cs="Arial"/>
          <w:sz w:val="24"/>
          <w:szCs w:val="24"/>
        </w:rPr>
        <w:t xml:space="preserve">The Court finds, after inquiry and counsel’s consultation with the </w:t>
      </w:r>
      <w:r w:rsidR="007557F5">
        <w:rPr>
          <w:rFonts w:ascii="Arial" w:hAnsi="Arial" w:cs="Arial"/>
          <w:sz w:val="24"/>
          <w:szCs w:val="24"/>
        </w:rPr>
        <w:t xml:space="preserve">Defender Services </w:t>
      </w:r>
      <w:r w:rsidRPr="00431137">
        <w:rPr>
          <w:rFonts w:ascii="Arial" w:hAnsi="Arial" w:cs="Arial"/>
          <w:sz w:val="24"/>
          <w:szCs w:val="24"/>
        </w:rPr>
        <w:t>Office of the Administrative Office of the United States Courts (AO),</w:t>
      </w:r>
      <w:r w:rsidRPr="00431137">
        <w:rPr>
          <w:rFonts w:ascii="Arial" w:hAnsi="Arial" w:cs="Arial"/>
          <w:sz w:val="24"/>
          <w:szCs w:val="24"/>
          <w:vertAlign w:val="superscript"/>
        </w:rPr>
        <w:footnoteReference w:customMarkFollows="1" w:id="4"/>
        <w:t>4</w:t>
      </w:r>
      <w:r w:rsidRPr="00431137">
        <w:rPr>
          <w:rFonts w:ascii="Arial" w:hAnsi="Arial" w:cs="Arial"/>
          <w:sz w:val="24"/>
          <w:szCs w:val="24"/>
        </w:rPr>
        <w:t xml:space="preserve"> that the item</w:t>
      </w:r>
      <w:r w:rsidR="00442E99">
        <w:rPr>
          <w:rFonts w:ascii="Arial" w:hAnsi="Arial" w:cs="Arial"/>
          <w:sz w:val="24"/>
          <w:szCs w:val="24"/>
        </w:rPr>
        <w:t xml:space="preserve">(s) and service(s) listed below </w:t>
      </w:r>
      <w:r w:rsidRPr="00431137">
        <w:rPr>
          <w:rFonts w:ascii="Arial" w:hAnsi="Arial" w:cs="Arial"/>
          <w:sz w:val="24"/>
          <w:szCs w:val="24"/>
        </w:rPr>
        <w:t>is [are] necessary for an adequate defense and constitute unusual or extraordinary expenses.</w:t>
      </w:r>
      <w:r w:rsidRPr="00431137">
        <w:rPr>
          <w:rFonts w:ascii="Arial" w:hAnsi="Arial" w:cs="Arial"/>
          <w:sz w:val="24"/>
          <w:szCs w:val="24"/>
          <w:vertAlign w:val="superscript"/>
        </w:rPr>
        <w:footnoteReference w:customMarkFollows="1" w:id="5"/>
        <w:t>5</w:t>
      </w:r>
      <w:r w:rsidRPr="00431137">
        <w:rPr>
          <w:rFonts w:ascii="Arial" w:hAnsi="Arial" w:cs="Arial"/>
          <w:sz w:val="24"/>
          <w:szCs w:val="24"/>
        </w:rPr>
        <w:t xml:space="preserve"> </w:t>
      </w:r>
    </w:p>
    <w:p w14:paraId="3ACD7D3B" w14:textId="77777777" w:rsidR="00431137" w:rsidRPr="00431137" w:rsidRDefault="00431137">
      <w:pPr>
        <w:widowControl/>
        <w:rPr>
          <w:rFonts w:ascii="Arial" w:hAnsi="Arial" w:cs="Arial"/>
          <w:sz w:val="24"/>
          <w:szCs w:val="24"/>
        </w:rPr>
      </w:pPr>
    </w:p>
    <w:p w14:paraId="784A1579" w14:textId="77777777" w:rsidR="00431137" w:rsidRPr="00431137" w:rsidRDefault="00431137">
      <w:pPr>
        <w:widowControl/>
        <w:rPr>
          <w:rFonts w:ascii="Arial" w:hAnsi="Arial" w:cs="Arial"/>
          <w:sz w:val="24"/>
          <w:szCs w:val="24"/>
        </w:rPr>
      </w:pPr>
      <w:r w:rsidRPr="00431137">
        <w:rPr>
          <w:rFonts w:ascii="Arial" w:hAnsi="Arial" w:cs="Arial"/>
          <w:sz w:val="24"/>
          <w:szCs w:val="24"/>
        </w:rPr>
        <w:t>The Court, therefore, approves the acquisition of the following:</w:t>
      </w:r>
    </w:p>
    <w:p w14:paraId="4D26C961" w14:textId="77777777" w:rsidR="00431137" w:rsidRPr="00431137" w:rsidRDefault="00431137">
      <w:pPr>
        <w:widowControl/>
        <w:rPr>
          <w:rFonts w:ascii="Arial" w:hAnsi="Arial" w:cs="Arial"/>
          <w:sz w:val="24"/>
          <w:szCs w:val="24"/>
        </w:rPr>
      </w:pPr>
      <w:r w:rsidRPr="00431137">
        <w:rPr>
          <w:rFonts w:ascii="Arial" w:hAnsi="Arial" w:cs="Arial"/>
          <w:sz w:val="24"/>
          <w:szCs w:val="24"/>
        </w:rPr>
        <w:t>[1.]</w:t>
      </w:r>
    </w:p>
    <w:p w14:paraId="640862FB" w14:textId="77777777" w:rsidR="00431137" w:rsidRPr="00431137" w:rsidRDefault="00431137">
      <w:pPr>
        <w:widowControl/>
        <w:rPr>
          <w:rFonts w:ascii="Arial" w:hAnsi="Arial" w:cs="Arial"/>
          <w:sz w:val="24"/>
          <w:szCs w:val="24"/>
        </w:rPr>
      </w:pPr>
      <w:r w:rsidRPr="00431137">
        <w:rPr>
          <w:rFonts w:ascii="Arial" w:hAnsi="Arial" w:cs="Arial"/>
          <w:sz w:val="24"/>
          <w:szCs w:val="24"/>
        </w:rPr>
        <w:t>[2.]</w:t>
      </w:r>
    </w:p>
    <w:p w14:paraId="30CA21BC" w14:textId="77777777" w:rsidR="00431137" w:rsidRPr="00431137" w:rsidRDefault="00431137">
      <w:pPr>
        <w:widowControl/>
        <w:rPr>
          <w:rFonts w:ascii="Arial" w:hAnsi="Arial" w:cs="Arial"/>
          <w:sz w:val="24"/>
          <w:szCs w:val="24"/>
        </w:rPr>
      </w:pPr>
      <w:r w:rsidRPr="00431137">
        <w:rPr>
          <w:rFonts w:ascii="Arial" w:hAnsi="Arial" w:cs="Arial"/>
          <w:sz w:val="24"/>
          <w:szCs w:val="24"/>
        </w:rPr>
        <w:t>[3.]</w:t>
      </w:r>
    </w:p>
    <w:p w14:paraId="557CE803" w14:textId="77777777" w:rsidR="00431137" w:rsidRPr="00431137" w:rsidRDefault="00431137">
      <w:pPr>
        <w:widowControl/>
        <w:rPr>
          <w:rFonts w:ascii="Arial" w:hAnsi="Arial" w:cs="Arial"/>
          <w:sz w:val="24"/>
          <w:szCs w:val="24"/>
        </w:rPr>
      </w:pPr>
      <w:r w:rsidRPr="00431137">
        <w:rPr>
          <w:rFonts w:ascii="Arial" w:hAnsi="Arial" w:cs="Arial"/>
          <w:sz w:val="24"/>
          <w:szCs w:val="24"/>
        </w:rPr>
        <w:t>[4.]</w:t>
      </w:r>
    </w:p>
    <w:p w14:paraId="33DD9634" w14:textId="77777777" w:rsidR="00442E99" w:rsidRPr="00431137" w:rsidRDefault="00431137">
      <w:pPr>
        <w:widowControl/>
        <w:rPr>
          <w:rFonts w:ascii="Arial" w:hAnsi="Arial" w:cs="Arial"/>
          <w:sz w:val="24"/>
          <w:szCs w:val="24"/>
        </w:rPr>
      </w:pPr>
      <w:r w:rsidRPr="00431137">
        <w:rPr>
          <w:rFonts w:ascii="Arial" w:hAnsi="Arial" w:cs="Arial"/>
          <w:sz w:val="24"/>
          <w:szCs w:val="24"/>
        </w:rPr>
        <w:t>in the amounts listed for each item and a total expenditure not to exceed [the sum of all items approved</w:t>
      </w:r>
      <w:r w:rsidRPr="00431137">
        <w:rPr>
          <w:rFonts w:ascii="Arial" w:hAnsi="Arial" w:cs="Arial"/>
          <w:sz w:val="24"/>
          <w:szCs w:val="24"/>
          <w:vertAlign w:val="superscript"/>
        </w:rPr>
        <w:footnoteReference w:customMarkFollows="1" w:id="6"/>
        <w:t>6</w:t>
      </w:r>
      <w:r w:rsidRPr="00431137">
        <w:rPr>
          <w:rFonts w:ascii="Arial" w:hAnsi="Arial" w:cs="Arial"/>
          <w:sz w:val="24"/>
          <w:szCs w:val="24"/>
        </w:rPr>
        <w:t>].</w:t>
      </w:r>
    </w:p>
    <w:p w14:paraId="56D81DEF" w14:textId="77777777" w:rsidR="00431137" w:rsidRPr="00431137" w:rsidRDefault="00431137">
      <w:pPr>
        <w:widowControl/>
        <w:rPr>
          <w:rFonts w:ascii="Arial" w:hAnsi="Arial" w:cs="Arial"/>
          <w:sz w:val="24"/>
          <w:szCs w:val="24"/>
        </w:rPr>
      </w:pPr>
    </w:p>
    <w:p w14:paraId="3C0139E2" w14:textId="608A2289" w:rsidR="00431137" w:rsidRPr="00F04A10" w:rsidRDefault="0044291B" w:rsidP="00431137">
      <w:pPr>
        <w:keepNext/>
        <w:widowControl/>
        <w:rPr>
          <w:rFonts w:ascii="Arial" w:hAnsi="Arial" w:cs="Arial"/>
          <w:iCs/>
          <w:sz w:val="24"/>
          <w:szCs w:val="24"/>
        </w:rPr>
      </w:pPr>
      <w:r w:rsidRPr="0044291B">
        <w:rPr>
          <w:rFonts w:ascii="Arial" w:hAnsi="Arial" w:cs="Arial"/>
          <w:sz w:val="24"/>
          <w:szCs w:val="24"/>
          <w:lang w:val="en-CA"/>
        </w:rPr>
        <w:lastRenderedPageBreak/>
        <w:fldChar w:fldCharType="begin"/>
      </w:r>
      <w:r w:rsidRPr="0044291B">
        <w:rPr>
          <w:rFonts w:ascii="Arial" w:hAnsi="Arial" w:cs="Arial"/>
          <w:sz w:val="24"/>
          <w:szCs w:val="24"/>
          <w:lang w:val="en-CA"/>
        </w:rPr>
        <w:instrText xml:space="preserve"> SEQ CHAPTER \h \r 1</w:instrText>
      </w:r>
      <w:r w:rsidRPr="0044291B">
        <w:rPr>
          <w:rFonts w:ascii="Arial" w:hAnsi="Arial" w:cs="Arial"/>
          <w:sz w:val="24"/>
          <w:szCs w:val="24"/>
          <w:lang w:val="en-CA"/>
        </w:rPr>
        <w:fldChar w:fldCharType="end"/>
      </w:r>
      <w:r w:rsidRPr="0044291B">
        <w:rPr>
          <w:rFonts w:ascii="Arial" w:hAnsi="Arial" w:cs="Arial"/>
          <w:sz w:val="24"/>
          <w:szCs w:val="24"/>
        </w:rPr>
        <w:t xml:space="preserve">It is further ordered that counsel must acquire the approved items in conformance with </w:t>
      </w:r>
      <w:hyperlink r:id="rId12" w:anchor="a320_70" w:history="1">
        <w:r w:rsidRPr="00AE329D">
          <w:rPr>
            <w:rStyle w:val="Hyperlink"/>
            <w:rFonts w:ascii="Arial" w:hAnsi="Arial" w:cs="Arial"/>
            <w:i/>
            <w:iCs/>
            <w:sz w:val="24"/>
            <w:szCs w:val="24"/>
          </w:rPr>
          <w:t>Guide to Judiciary Policy</w:t>
        </w:r>
        <w:r w:rsidRPr="00AE329D">
          <w:rPr>
            <w:rStyle w:val="Hyperlink"/>
            <w:rFonts w:ascii="Arial" w:hAnsi="Arial" w:cs="Arial"/>
            <w:sz w:val="24"/>
            <w:szCs w:val="24"/>
          </w:rPr>
          <w:t>, Volume 7A, § 320.70</w:t>
        </w:r>
      </w:hyperlink>
      <w:r w:rsidRPr="0044291B">
        <w:rPr>
          <w:rFonts w:ascii="Arial" w:hAnsi="Arial" w:cs="Arial"/>
          <w:i/>
          <w:iCs/>
          <w:sz w:val="24"/>
          <w:szCs w:val="24"/>
        </w:rPr>
        <w:t xml:space="preserve">.  </w:t>
      </w:r>
      <w:r w:rsidRPr="00F04A10">
        <w:rPr>
          <w:rFonts w:ascii="Arial" w:hAnsi="Arial" w:cs="Arial"/>
          <w:iCs/>
          <w:sz w:val="24"/>
          <w:szCs w:val="24"/>
        </w:rPr>
        <w:t xml:space="preserve">Both the acquisition of the computer software and/or hardware and the procurement of litigation support services, should be submitted on </w:t>
      </w:r>
      <w:hyperlink r:id="rId13" w:history="1">
        <w:r w:rsidRPr="00F04A10">
          <w:rPr>
            <w:rFonts w:ascii="Arial" w:hAnsi="Arial" w:cs="Arial"/>
            <w:iCs/>
            <w:color w:val="0000FF"/>
            <w:sz w:val="24"/>
            <w:szCs w:val="24"/>
            <w:u w:val="single"/>
          </w:rPr>
          <w:t>Form CJA 21 (Authorization and Voucher for Expert and Other Services)</w:t>
        </w:r>
      </w:hyperlink>
      <w:r w:rsidRPr="00F04A10">
        <w:rPr>
          <w:rFonts w:ascii="Arial" w:hAnsi="Arial" w:cs="Arial"/>
          <w:iCs/>
          <w:sz w:val="24"/>
          <w:szCs w:val="24"/>
        </w:rPr>
        <w:t xml:space="preserve"> or, in a death penalty proceeding, </w:t>
      </w:r>
      <w:hyperlink r:id="rId14" w:history="1">
        <w:r w:rsidRPr="00F04A10">
          <w:rPr>
            <w:rFonts w:ascii="Arial" w:hAnsi="Arial" w:cs="Arial"/>
            <w:iCs/>
            <w:color w:val="0000FF"/>
            <w:sz w:val="24"/>
            <w:szCs w:val="24"/>
            <w:u w:val="single"/>
          </w:rPr>
          <w:t>Form CJA 31 (Death Penalty Proceedings: Ex Parte Request for Authorization and Voucher for Expert and Other Services)</w:t>
        </w:r>
      </w:hyperlink>
      <w:r w:rsidRPr="00F04A10">
        <w:rPr>
          <w:rFonts w:ascii="Arial" w:hAnsi="Arial" w:cs="Arial"/>
          <w:iCs/>
          <w:sz w:val="24"/>
          <w:szCs w:val="24"/>
        </w:rPr>
        <w:t xml:space="preserve">.  Upon actual purchase, counsel shall provide the </w:t>
      </w:r>
      <w:r w:rsidR="007557F5">
        <w:rPr>
          <w:rFonts w:ascii="Arial" w:hAnsi="Arial" w:cs="Arial"/>
          <w:iCs/>
          <w:sz w:val="24"/>
          <w:szCs w:val="24"/>
        </w:rPr>
        <w:t>AO’s</w:t>
      </w:r>
      <w:r w:rsidRPr="00F04A10">
        <w:rPr>
          <w:rFonts w:ascii="Arial" w:hAnsi="Arial" w:cs="Arial"/>
          <w:iCs/>
          <w:sz w:val="24"/>
          <w:szCs w:val="24"/>
        </w:rPr>
        <w:t xml:space="preserve"> Defender Services </w:t>
      </w:r>
      <w:r w:rsidR="007557F5">
        <w:rPr>
          <w:rFonts w:ascii="Arial" w:hAnsi="Arial" w:cs="Arial"/>
          <w:iCs/>
          <w:sz w:val="24"/>
          <w:szCs w:val="24"/>
        </w:rPr>
        <w:t xml:space="preserve">Office </w:t>
      </w:r>
      <w:r w:rsidRPr="00F04A10">
        <w:rPr>
          <w:rFonts w:ascii="Arial" w:hAnsi="Arial" w:cs="Arial"/>
          <w:iCs/>
          <w:sz w:val="24"/>
          <w:szCs w:val="24"/>
        </w:rPr>
        <w:t xml:space="preserve">with a copy of the court’s order approving the request, a copy of the completed </w:t>
      </w:r>
      <w:r w:rsidRPr="00AE329D">
        <w:rPr>
          <w:rFonts w:ascii="Arial" w:hAnsi="Arial" w:cs="Arial"/>
          <w:iCs/>
          <w:sz w:val="24"/>
          <w:szCs w:val="24"/>
        </w:rPr>
        <w:t>Form CJA 21 (or Form CJA 31)</w:t>
      </w:r>
      <w:r w:rsidRPr="00F04A10">
        <w:rPr>
          <w:rFonts w:ascii="Arial" w:hAnsi="Arial" w:cs="Arial"/>
          <w:iCs/>
          <w:sz w:val="24"/>
          <w:szCs w:val="24"/>
        </w:rPr>
        <w:t xml:space="preserve">, the purchase order from the vendor and any receiving documents.  These documents should be sent to: </w:t>
      </w:r>
      <w:r w:rsidR="006E3E85">
        <w:rPr>
          <w:rFonts w:ascii="Arial" w:hAnsi="Arial" w:cs="Arial"/>
          <w:iCs/>
          <w:sz w:val="24"/>
          <w:szCs w:val="24"/>
        </w:rPr>
        <w:t xml:space="preserve"> </w:t>
      </w:r>
      <w:r w:rsidRPr="00F04A10">
        <w:rPr>
          <w:rFonts w:ascii="Arial" w:hAnsi="Arial" w:cs="Arial"/>
          <w:iCs/>
          <w:sz w:val="24"/>
          <w:szCs w:val="24"/>
        </w:rPr>
        <w:t>National Litigation Support Team</w:t>
      </w:r>
      <w:r w:rsidR="00894259">
        <w:rPr>
          <w:rFonts w:ascii="Arial" w:hAnsi="Arial" w:cs="Arial"/>
          <w:iCs/>
          <w:sz w:val="24"/>
          <w:szCs w:val="24"/>
        </w:rPr>
        <w:t>;</w:t>
      </w:r>
      <w:r w:rsidRPr="00F04A10">
        <w:rPr>
          <w:rFonts w:ascii="Arial" w:hAnsi="Arial" w:cs="Arial"/>
          <w:iCs/>
          <w:sz w:val="24"/>
          <w:szCs w:val="24"/>
        </w:rPr>
        <w:t xml:space="preserve"> Federal Public Defender Organization</w:t>
      </w:r>
      <w:r w:rsidR="00894259">
        <w:rPr>
          <w:rFonts w:ascii="Arial" w:hAnsi="Arial" w:cs="Arial"/>
          <w:iCs/>
          <w:sz w:val="24"/>
          <w:szCs w:val="24"/>
        </w:rPr>
        <w:t>;</w:t>
      </w:r>
      <w:r w:rsidRPr="00F04A10">
        <w:rPr>
          <w:rFonts w:ascii="Arial" w:hAnsi="Arial" w:cs="Arial"/>
          <w:iCs/>
          <w:sz w:val="24"/>
          <w:szCs w:val="24"/>
        </w:rPr>
        <w:t xml:space="preserve"> </w:t>
      </w:r>
      <w:r w:rsidR="00CF529C">
        <w:rPr>
          <w:rFonts w:ascii="Arial" w:hAnsi="Arial" w:cs="Arial"/>
          <w:iCs/>
          <w:sz w:val="24"/>
          <w:szCs w:val="24"/>
        </w:rPr>
        <w:t>1300 Clay Street</w:t>
      </w:r>
      <w:r w:rsidRPr="00F04A10">
        <w:rPr>
          <w:rFonts w:ascii="Arial" w:hAnsi="Arial" w:cs="Arial"/>
          <w:iCs/>
          <w:sz w:val="24"/>
          <w:szCs w:val="24"/>
        </w:rPr>
        <w:t xml:space="preserve">, Suite </w:t>
      </w:r>
      <w:r w:rsidR="00CF529C">
        <w:rPr>
          <w:rFonts w:ascii="Arial" w:hAnsi="Arial" w:cs="Arial"/>
          <w:iCs/>
          <w:sz w:val="24"/>
          <w:szCs w:val="24"/>
        </w:rPr>
        <w:t>315</w:t>
      </w:r>
      <w:r w:rsidR="00894259">
        <w:rPr>
          <w:rFonts w:ascii="Arial" w:hAnsi="Arial" w:cs="Arial"/>
          <w:iCs/>
          <w:sz w:val="24"/>
          <w:szCs w:val="24"/>
        </w:rPr>
        <w:t>;</w:t>
      </w:r>
      <w:r w:rsidRPr="00F04A10">
        <w:rPr>
          <w:rFonts w:ascii="Arial" w:hAnsi="Arial" w:cs="Arial"/>
          <w:iCs/>
          <w:sz w:val="24"/>
          <w:szCs w:val="24"/>
        </w:rPr>
        <w:t xml:space="preserve"> Oakland, CA 946</w:t>
      </w:r>
      <w:r w:rsidR="00CF529C">
        <w:rPr>
          <w:rFonts w:ascii="Arial" w:hAnsi="Arial" w:cs="Arial"/>
          <w:iCs/>
          <w:sz w:val="24"/>
          <w:szCs w:val="24"/>
        </w:rPr>
        <w:t>12</w:t>
      </w:r>
      <w:r w:rsidRPr="00F04A10">
        <w:rPr>
          <w:rFonts w:ascii="Arial" w:hAnsi="Arial" w:cs="Arial"/>
          <w:iCs/>
          <w:sz w:val="24"/>
          <w:szCs w:val="24"/>
        </w:rPr>
        <w:t>.</w:t>
      </w:r>
    </w:p>
    <w:p w14:paraId="161667B3" w14:textId="77777777" w:rsidR="0044291B" w:rsidRPr="0044291B" w:rsidRDefault="0044291B" w:rsidP="00431137">
      <w:pPr>
        <w:keepNext/>
        <w:widowControl/>
        <w:rPr>
          <w:rFonts w:ascii="Arial" w:hAnsi="Arial" w:cs="Arial"/>
          <w:sz w:val="24"/>
          <w:szCs w:val="24"/>
        </w:rPr>
      </w:pPr>
    </w:p>
    <w:p w14:paraId="7494F446" w14:textId="77777777" w:rsidR="00431137" w:rsidRPr="0044291B" w:rsidRDefault="00431137" w:rsidP="00431137">
      <w:pPr>
        <w:keepNext/>
        <w:widowControl/>
        <w:rPr>
          <w:rFonts w:ascii="Arial" w:hAnsi="Arial" w:cs="Arial"/>
          <w:sz w:val="24"/>
          <w:szCs w:val="24"/>
        </w:rPr>
      </w:pPr>
      <w:r w:rsidRPr="0044291B">
        <w:rPr>
          <w:rFonts w:ascii="Arial" w:hAnsi="Arial" w:cs="Arial"/>
          <w:sz w:val="24"/>
          <w:szCs w:val="24"/>
        </w:rPr>
        <w:t xml:space="preserve">Because this [hardware and/or software] is [are] for the use of counsel appointed under the CJA and is being purchased with United States government funds, it is further ordered that the approved items are and will remain the property of the United States. The item[s] is [are] to be used only </w:t>
      </w:r>
      <w:proofErr w:type="gramStart"/>
      <w:r w:rsidRPr="0044291B">
        <w:rPr>
          <w:rFonts w:ascii="Arial" w:hAnsi="Arial" w:cs="Arial"/>
          <w:sz w:val="24"/>
          <w:szCs w:val="24"/>
        </w:rPr>
        <w:t>in the course of</w:t>
      </w:r>
      <w:proofErr w:type="gramEnd"/>
      <w:r w:rsidRPr="0044291B">
        <w:rPr>
          <w:rFonts w:ascii="Arial" w:hAnsi="Arial" w:cs="Arial"/>
          <w:sz w:val="24"/>
          <w:szCs w:val="24"/>
        </w:rPr>
        <w:t xml:space="preserve"> the representation of the above-named defendant[s].  Counsel must use due diligence and care to maintain the property in good condition.</w:t>
      </w:r>
    </w:p>
    <w:p w14:paraId="116C0EC1" w14:textId="77777777" w:rsidR="00431137" w:rsidRPr="0044291B" w:rsidRDefault="00431137">
      <w:pPr>
        <w:widowControl/>
        <w:rPr>
          <w:rFonts w:ascii="Arial" w:hAnsi="Arial" w:cs="Arial"/>
          <w:sz w:val="24"/>
          <w:szCs w:val="24"/>
        </w:rPr>
      </w:pPr>
    </w:p>
    <w:p w14:paraId="797EB62F" w14:textId="6751FD74" w:rsidR="00431137" w:rsidRPr="00431137" w:rsidRDefault="00F04A10">
      <w:pPr>
        <w:widowControl/>
        <w:rPr>
          <w:rFonts w:ascii="Arial" w:hAnsi="Arial" w:cs="Arial"/>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Arial" w:hAnsi="Arial" w:cs="Arial"/>
          <w:sz w:val="24"/>
          <w:szCs w:val="24"/>
        </w:rPr>
        <w:t xml:space="preserve">Unless otherwise ordered by the Court, within 30 days after final judgment is entered as to a defendant, appointed counsel for that defendant is directed to contact the National Litigation Support Team in the </w:t>
      </w:r>
      <w:r w:rsidR="003F6AA7">
        <w:rPr>
          <w:rFonts w:ascii="Arial" w:hAnsi="Arial" w:cs="Arial"/>
          <w:sz w:val="24"/>
          <w:szCs w:val="24"/>
        </w:rPr>
        <w:t xml:space="preserve">AO’s </w:t>
      </w:r>
      <w:r>
        <w:rPr>
          <w:rFonts w:ascii="Arial" w:hAnsi="Arial" w:cs="Arial"/>
          <w:sz w:val="24"/>
          <w:szCs w:val="24"/>
        </w:rPr>
        <w:t xml:space="preserve">Defender Services </w:t>
      </w:r>
      <w:r w:rsidR="003F6AA7">
        <w:rPr>
          <w:rFonts w:ascii="Arial" w:hAnsi="Arial" w:cs="Arial"/>
          <w:sz w:val="24"/>
          <w:szCs w:val="24"/>
        </w:rPr>
        <w:t xml:space="preserve">Office </w:t>
      </w:r>
      <w:r>
        <w:rPr>
          <w:rFonts w:ascii="Arial" w:hAnsi="Arial" w:cs="Arial"/>
          <w:sz w:val="24"/>
          <w:szCs w:val="24"/>
        </w:rPr>
        <w:t>at 510-</w:t>
      </w:r>
      <w:r w:rsidR="00CF529C">
        <w:rPr>
          <w:rFonts w:ascii="Arial" w:hAnsi="Arial" w:cs="Arial"/>
          <w:sz w:val="24"/>
          <w:szCs w:val="24"/>
        </w:rPr>
        <w:t>350</w:t>
      </w:r>
      <w:r>
        <w:rPr>
          <w:rFonts w:ascii="Arial" w:hAnsi="Arial" w:cs="Arial"/>
          <w:sz w:val="24"/>
          <w:szCs w:val="24"/>
        </w:rPr>
        <w:t>-</w:t>
      </w:r>
      <w:r w:rsidR="00CF529C">
        <w:rPr>
          <w:rFonts w:ascii="Arial" w:hAnsi="Arial" w:cs="Arial"/>
          <w:sz w:val="24"/>
          <w:szCs w:val="24"/>
        </w:rPr>
        <w:t>2738</w:t>
      </w:r>
      <w:r>
        <w:rPr>
          <w:rFonts w:ascii="Arial" w:hAnsi="Arial" w:cs="Arial"/>
          <w:sz w:val="24"/>
          <w:szCs w:val="24"/>
        </w:rPr>
        <w:t xml:space="preserve"> for instructions on returning any software, and directions for deleting case-related material from any hardware and returning it to the National Litigation Support Team for the permanent removal of case-related material.</w:t>
      </w:r>
      <w:r>
        <w:rPr>
          <w:rFonts w:ascii="Arial" w:hAnsi="Arial" w:cs="Arial"/>
          <w:b/>
          <w:bCs/>
          <w:i/>
          <w:iCs/>
          <w:sz w:val="24"/>
          <w:szCs w:val="24"/>
        </w:rPr>
        <w:t xml:space="preserve">  </w:t>
      </w:r>
      <w:r>
        <w:rPr>
          <w:rFonts w:ascii="Arial" w:hAnsi="Arial" w:cs="Arial"/>
          <w:sz w:val="24"/>
          <w:szCs w:val="24"/>
        </w:rPr>
        <w:t xml:space="preserve">If appointed counsel has acquired software, then counsel should provide all accounting information for the software, including any serial numbers, activation codes, or other identifying information, and remove the software from his or her machines.  If appointed counsel acquired computer hardware, it must be returned in good condition.  </w:t>
      </w:r>
      <w:r w:rsidR="00431137" w:rsidRPr="00431137">
        <w:rPr>
          <w:rFonts w:ascii="Arial" w:hAnsi="Arial" w:cs="Arial"/>
          <w:sz w:val="24"/>
          <w:szCs w:val="24"/>
        </w:rPr>
        <w:t>Counsel should retain copies, electronic or otherwise, of the deleted information for the client’s file.</w:t>
      </w:r>
      <w:r w:rsidR="00D34740">
        <w:rPr>
          <w:rStyle w:val="FootnoteReference"/>
          <w:rFonts w:ascii="Arial" w:hAnsi="Arial" w:cs="Arial"/>
          <w:sz w:val="24"/>
          <w:szCs w:val="24"/>
        </w:rPr>
        <w:footnoteReference w:id="7"/>
      </w:r>
    </w:p>
    <w:sectPr w:rsidR="00431137" w:rsidRPr="00431137" w:rsidSect="00AE329D">
      <w:footerReference w:type="default" r:id="rId15"/>
      <w:footnotePr>
        <w:numStart w:val="7"/>
      </w:footnotePr>
      <w:endnotePr>
        <w:numFmt w:val="decimal"/>
        <w:numStart w:val="7"/>
      </w:endnotePr>
      <w:type w:val="continuous"/>
      <w:pgSz w:w="12240" w:h="15840"/>
      <w:pgMar w:top="1440" w:right="1440" w:bottom="1440" w:left="1350" w:header="1152" w:footer="115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1AD74" w14:textId="77777777" w:rsidR="00000D48" w:rsidRDefault="00000D48">
      <w:r>
        <w:separator/>
      </w:r>
    </w:p>
  </w:endnote>
  <w:endnote w:type="continuationSeparator" w:id="0">
    <w:p w14:paraId="4F289911" w14:textId="77777777" w:rsidR="00000D48" w:rsidRDefault="000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33C5" w14:textId="77777777" w:rsidR="00EE606B" w:rsidRDefault="00EE606B">
    <w:pPr>
      <w:framePr w:wrap="notBeside" w:hAnchor="text" w:xAlign="center"/>
      <w:widowControl/>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Pr>
        <w:rFonts w:ascii="Arial" w:hAnsi="Arial" w:cs="Arial"/>
        <w:noProof/>
        <w:sz w:val="24"/>
        <w:szCs w:val="24"/>
      </w:rPr>
      <w:t>1</w:t>
    </w:r>
    <w:r>
      <w:rPr>
        <w:rFonts w:ascii="Arial" w:hAnsi="Arial" w:cs="Arial"/>
        <w:sz w:val="24"/>
        <w:szCs w:val="24"/>
      </w:rPr>
      <w:fldChar w:fldCharType="end"/>
    </w:r>
  </w:p>
  <w:p w14:paraId="20C9F2D9" w14:textId="77777777" w:rsidR="00EE606B" w:rsidRDefault="00EE606B">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E662" w14:textId="77777777" w:rsidR="00EE606B" w:rsidRDefault="00EE606B" w:rsidP="00760423">
    <w:pPr>
      <w:pStyle w:val="Footer"/>
      <w:jc w:val="right"/>
      <w:rPr>
        <w:rFonts w:ascii="Arial" w:hAnsi="Arial" w:cs="Arial"/>
        <w:i/>
      </w:rPr>
    </w:pPr>
  </w:p>
  <w:p w14:paraId="2153FD5E" w14:textId="77777777" w:rsidR="00EE606B" w:rsidRDefault="00EE606B" w:rsidP="008C484B">
    <w:pPr>
      <w:pStyle w:val="Footer"/>
      <w:jc w:val="right"/>
      <w:rPr>
        <w:rFonts w:ascii="Arial" w:hAnsi="Arial" w:cs="Arial"/>
        <w:i/>
        <w:iCs/>
        <w:color w:val="000000"/>
      </w:rPr>
    </w:pPr>
    <w:r>
      <w:rPr>
        <w:rFonts w:ascii="Arial" w:hAnsi="Arial" w:cs="Arial"/>
        <w:i/>
        <w:iCs/>
        <w:color w:val="000000"/>
      </w:rPr>
      <w:t xml:space="preserve">Last </w:t>
    </w:r>
    <w:r w:rsidR="00AE329D">
      <w:rPr>
        <w:rFonts w:ascii="Arial" w:hAnsi="Arial" w:cs="Arial"/>
        <w:i/>
        <w:iCs/>
        <w:color w:val="000000"/>
      </w:rPr>
      <w:t>substantive revision</w:t>
    </w:r>
    <w:r>
      <w:rPr>
        <w:rFonts w:ascii="Arial" w:hAnsi="Arial" w:cs="Arial"/>
        <w:i/>
        <w:iCs/>
        <w:color w:val="000000"/>
      </w:rPr>
      <w:t xml:space="preserve"> (</w:t>
    </w:r>
    <w:hyperlink r:id="rId1" w:anchor="transmittals" w:history="1">
      <w:r w:rsidRPr="008C484B">
        <w:rPr>
          <w:rStyle w:val="Hyperlink"/>
          <w:rFonts w:ascii="Arial" w:hAnsi="Arial" w:cs="Arial"/>
          <w:i/>
          <w:iCs/>
        </w:rPr>
        <w:t>Transmittal 07-003</w:t>
      </w:r>
    </w:hyperlink>
    <w:r>
      <w:rPr>
        <w:rFonts w:ascii="Arial" w:hAnsi="Arial" w:cs="Arial"/>
        <w:i/>
        <w:iCs/>
        <w:color w:val="000000"/>
      </w:rPr>
      <w:t>) February 15, 2011</w:t>
    </w:r>
  </w:p>
  <w:p w14:paraId="2E2BC8BB" w14:textId="05897486" w:rsidR="00AE329D" w:rsidRPr="00760423" w:rsidRDefault="00AE329D" w:rsidP="008C484B">
    <w:pPr>
      <w:pStyle w:val="Footer"/>
      <w:jc w:val="right"/>
      <w:rPr>
        <w:rFonts w:ascii="Arial" w:hAnsi="Arial" w:cs="Arial"/>
        <w:i/>
      </w:rPr>
    </w:pPr>
    <w:r>
      <w:rPr>
        <w:rFonts w:ascii="Arial" w:hAnsi="Arial" w:cs="Arial"/>
        <w:i/>
        <w:iCs/>
        <w:color w:val="000000"/>
      </w:rPr>
      <w:t xml:space="preserve">Last revised (minor technical changes) </w:t>
    </w:r>
    <w:r w:rsidR="00894259">
      <w:rPr>
        <w:rFonts w:ascii="Arial" w:hAnsi="Arial" w:cs="Arial"/>
        <w:i/>
        <w:iCs/>
        <w:color w:val="000000"/>
      </w:rPr>
      <w:t>December 16,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F23E" w14:textId="77777777" w:rsidR="00AE329D" w:rsidRDefault="00AE329D">
    <w:pPr>
      <w:framePr w:wrap="notBeside" w:hAnchor="text" w:xAlign="center"/>
      <w:widowControl/>
      <w:rPr>
        <w:rFonts w:ascii="Arial" w:hAnsi="Arial" w:cs="Arial"/>
        <w:sz w:val="24"/>
        <w:szCs w:val="24"/>
      </w:rPr>
    </w:pPr>
  </w:p>
  <w:p w14:paraId="6765248A" w14:textId="77777777" w:rsidR="00EE606B" w:rsidRDefault="00EE606B" w:rsidP="00AE329D">
    <w:pPr>
      <w:framePr w:wrap="notBeside" w:hAnchor="text" w:xAlign="center"/>
      <w:widowControl/>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sidR="00C9453F">
      <w:rPr>
        <w:rFonts w:ascii="Arial" w:hAnsi="Arial" w:cs="Arial"/>
        <w:noProof/>
        <w:sz w:val="24"/>
        <w:szCs w:val="24"/>
      </w:rPr>
      <w:t>2</w:t>
    </w:r>
    <w:r>
      <w:rPr>
        <w:rFonts w:ascii="Arial" w:hAnsi="Arial" w:cs="Arial"/>
        <w:sz w:val="24"/>
        <w:szCs w:val="24"/>
      </w:rPr>
      <w:fldChar w:fldCharType="end"/>
    </w:r>
  </w:p>
  <w:p w14:paraId="2E37B12E" w14:textId="77777777" w:rsidR="00AE329D" w:rsidRDefault="00AE329D">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0327F" w14:textId="77777777" w:rsidR="00000D48" w:rsidRDefault="00000D48">
      <w:r>
        <w:separator/>
      </w:r>
    </w:p>
  </w:footnote>
  <w:footnote w:type="continuationSeparator" w:id="0">
    <w:p w14:paraId="0D6200EB" w14:textId="77777777" w:rsidR="00000D48" w:rsidRDefault="00000D48">
      <w:r>
        <w:continuationSeparator/>
      </w:r>
    </w:p>
  </w:footnote>
  <w:footnote w:id="1">
    <w:p w14:paraId="0EB578DA" w14:textId="77777777" w:rsidR="00D34740" w:rsidRDefault="00EE606B" w:rsidP="005748E3">
      <w:pPr>
        <w:widowControl/>
        <w:spacing w:after="240"/>
        <w:ind w:firstLine="720"/>
      </w:pPr>
      <w:r w:rsidRPr="008941B2">
        <w:rPr>
          <w:rFonts w:ascii="Arial" w:hAnsi="Arial" w:cs="Arial"/>
          <w:sz w:val="24"/>
          <w:szCs w:val="24"/>
          <w:vertAlign w:val="superscript"/>
        </w:rPr>
        <w:t>1</w:t>
      </w:r>
      <w:r>
        <w:rPr>
          <w:sz w:val="24"/>
          <w:szCs w:val="24"/>
          <w:vertAlign w:val="superscript"/>
        </w:rPr>
        <w:t xml:space="preserve"> </w:t>
      </w:r>
      <w:r>
        <w:rPr>
          <w:rFonts w:ascii="Arial" w:hAnsi="Arial" w:cs="Arial"/>
          <w:sz w:val="22"/>
          <w:szCs w:val="22"/>
        </w:rPr>
        <w:t>In most cases, counsel for one defendant is likely to make application on behalf of all co-defendants.  Courts should encourage cooperation among defendants in multi-defendant cases and urge them to agree on needs before application is made.</w:t>
      </w:r>
    </w:p>
  </w:footnote>
  <w:footnote w:id="2">
    <w:p w14:paraId="62E9E968" w14:textId="77777777" w:rsidR="00EE606B" w:rsidRDefault="00EE606B" w:rsidP="005748E3">
      <w:pPr>
        <w:widowControl/>
        <w:spacing w:after="240"/>
        <w:ind w:firstLine="720"/>
      </w:pPr>
      <w:r w:rsidRPr="008941B2">
        <w:rPr>
          <w:rFonts w:ascii="Arial" w:hAnsi="Arial" w:cs="Arial"/>
          <w:sz w:val="24"/>
          <w:szCs w:val="24"/>
          <w:vertAlign w:val="superscript"/>
        </w:rPr>
        <w:t>2</w:t>
      </w:r>
      <w:r>
        <w:rPr>
          <w:sz w:val="24"/>
          <w:szCs w:val="24"/>
          <w:vertAlign w:val="superscript"/>
        </w:rPr>
        <w:t xml:space="preserve"> </w:t>
      </w:r>
      <w:hyperlink r:id="rId1" w:anchor="a310_30" w:history="1">
        <w:r w:rsidRPr="005748E3">
          <w:rPr>
            <w:rStyle w:val="Hyperlink"/>
            <w:rFonts w:ascii="Arial" w:hAnsi="Arial" w:cs="Arial"/>
            <w:i/>
            <w:sz w:val="22"/>
            <w:szCs w:val="22"/>
            <w:highlight w:val="white"/>
          </w:rPr>
          <w:t>Guide to Judiciary Policy</w:t>
        </w:r>
        <w:r w:rsidRPr="005748E3">
          <w:rPr>
            <w:rStyle w:val="Hyperlink"/>
            <w:rFonts w:ascii="Arial" w:hAnsi="Arial" w:cs="Arial"/>
            <w:sz w:val="22"/>
            <w:szCs w:val="22"/>
            <w:highlight w:val="white"/>
          </w:rPr>
          <w:t>, Volume 7A, § 310.30</w:t>
        </w:r>
      </w:hyperlink>
      <w:r>
        <w:rPr>
          <w:rFonts w:ascii="Arial" w:hAnsi="Arial" w:cs="Arial"/>
          <w:sz w:val="22"/>
          <w:szCs w:val="22"/>
          <w:highlight w:val="white"/>
        </w:rPr>
        <w:t xml:space="preserve"> </w:t>
      </w:r>
      <w:r>
        <w:rPr>
          <w:rFonts w:ascii="Arial" w:hAnsi="Arial" w:cs="Arial"/>
          <w:sz w:val="22"/>
          <w:szCs w:val="22"/>
        </w:rPr>
        <w:t xml:space="preserve">anticipates an </w:t>
      </w:r>
      <w:r>
        <w:rPr>
          <w:rFonts w:ascii="Arial" w:hAnsi="Arial" w:cs="Arial"/>
          <w:i/>
          <w:iCs/>
          <w:sz w:val="22"/>
          <w:szCs w:val="22"/>
        </w:rPr>
        <w:t xml:space="preserve">ex parte </w:t>
      </w:r>
      <w:r>
        <w:rPr>
          <w:rFonts w:ascii="Arial" w:hAnsi="Arial" w:cs="Arial"/>
          <w:sz w:val="22"/>
          <w:szCs w:val="22"/>
        </w:rPr>
        <w:t xml:space="preserve">application for “services other than counsel” and instructs that applications “must be heard </w:t>
      </w:r>
      <w:r>
        <w:rPr>
          <w:rFonts w:ascii="Arial" w:hAnsi="Arial" w:cs="Arial"/>
          <w:i/>
          <w:iCs/>
          <w:sz w:val="22"/>
          <w:szCs w:val="22"/>
        </w:rPr>
        <w:t>in camera</w:t>
      </w:r>
      <w:r>
        <w:rPr>
          <w:rFonts w:ascii="Arial" w:hAnsi="Arial" w:cs="Arial"/>
          <w:sz w:val="22"/>
          <w:szCs w:val="22"/>
        </w:rPr>
        <w:t>” and are not to be revealed without the consent of the defendant.</w:t>
      </w:r>
    </w:p>
  </w:footnote>
  <w:footnote w:id="3">
    <w:p w14:paraId="42AC2D0C" w14:textId="77777777" w:rsidR="00EE606B" w:rsidRDefault="00EE606B" w:rsidP="005748E3">
      <w:pPr>
        <w:widowControl/>
        <w:spacing w:after="240"/>
        <w:ind w:firstLine="720"/>
      </w:pPr>
      <w:r w:rsidRPr="008941B2">
        <w:rPr>
          <w:rFonts w:ascii="Arial" w:hAnsi="Arial" w:cs="Arial"/>
          <w:sz w:val="24"/>
          <w:szCs w:val="24"/>
          <w:vertAlign w:val="superscript"/>
        </w:rPr>
        <w:t>3</w:t>
      </w:r>
      <w:r>
        <w:rPr>
          <w:sz w:val="24"/>
          <w:szCs w:val="24"/>
          <w:vertAlign w:val="superscript"/>
        </w:rPr>
        <w:t xml:space="preserve"> </w:t>
      </w:r>
      <w:r>
        <w:rPr>
          <w:rFonts w:ascii="Arial" w:hAnsi="Arial" w:cs="Arial"/>
          <w:sz w:val="22"/>
          <w:szCs w:val="22"/>
        </w:rPr>
        <w:t>Hardware includes computers, laptops, CD drives, printers, scanners, memory boards or related tangible items.  Software includes operating and application programs.</w:t>
      </w:r>
    </w:p>
  </w:footnote>
  <w:footnote w:id="4">
    <w:p w14:paraId="6248FF46" w14:textId="70E834EC" w:rsidR="00EE606B" w:rsidRDefault="00EE606B" w:rsidP="00442E99">
      <w:pPr>
        <w:widowControl/>
        <w:spacing w:after="240"/>
        <w:ind w:firstLine="720"/>
      </w:pPr>
      <w:r w:rsidRPr="008941B2">
        <w:rPr>
          <w:rFonts w:ascii="Arial" w:hAnsi="Arial" w:cs="Arial"/>
          <w:sz w:val="24"/>
          <w:szCs w:val="24"/>
          <w:vertAlign w:val="superscript"/>
        </w:rPr>
        <w:t>4</w:t>
      </w:r>
      <w:r>
        <w:rPr>
          <w:sz w:val="24"/>
          <w:szCs w:val="24"/>
          <w:vertAlign w:val="superscript"/>
        </w:rPr>
        <w:t xml:space="preserve"> </w:t>
      </w:r>
      <w:r>
        <w:rPr>
          <w:rFonts w:ascii="Arial" w:hAnsi="Arial" w:cs="Arial"/>
          <w:sz w:val="22"/>
          <w:szCs w:val="22"/>
        </w:rPr>
        <w:t xml:space="preserve">When computer hardware or software costs exceed the limitations in </w:t>
      </w:r>
      <w:hyperlink r:id="rId2" w:anchor="a310_20_30" w:history="1">
        <w:r w:rsidRPr="00CA4B88">
          <w:rPr>
            <w:rStyle w:val="Hyperlink"/>
            <w:rFonts w:ascii="Arial" w:hAnsi="Arial" w:cs="Arial"/>
            <w:i/>
            <w:sz w:val="22"/>
            <w:szCs w:val="22"/>
          </w:rPr>
          <w:t>Guide to Judiciary Policy</w:t>
        </w:r>
        <w:r w:rsidRPr="00CA4B88">
          <w:rPr>
            <w:rStyle w:val="Hyperlink"/>
            <w:rFonts w:ascii="Arial" w:hAnsi="Arial" w:cs="Arial"/>
            <w:sz w:val="22"/>
            <w:szCs w:val="22"/>
          </w:rPr>
          <w:t xml:space="preserve">, Volume 7A, </w:t>
        </w:r>
        <w:r w:rsidRPr="00CA4B88">
          <w:rPr>
            <w:rStyle w:val="Hyperlink"/>
            <w:rFonts w:ascii="Arial" w:hAnsi="Arial" w:cs="Arial"/>
            <w:sz w:val="22"/>
            <w:szCs w:val="22"/>
            <w:highlight w:val="white"/>
          </w:rPr>
          <w:t>§</w:t>
        </w:r>
        <w:r w:rsidRPr="00CA4B88">
          <w:rPr>
            <w:rStyle w:val="Hyperlink"/>
            <w:rFonts w:ascii="Arial" w:hAnsi="Arial" w:cs="Arial"/>
            <w:sz w:val="22"/>
            <w:szCs w:val="22"/>
          </w:rPr>
          <w:t xml:space="preserve"> 310.20.30(a)</w:t>
        </w:r>
      </w:hyperlink>
      <w:r>
        <w:rPr>
          <w:rFonts w:ascii="Arial" w:hAnsi="Arial" w:cs="Arial"/>
          <w:sz w:val="22"/>
          <w:szCs w:val="22"/>
        </w:rPr>
        <w:t xml:space="preserve"> or when the combined cost of computer system fees, litigation support products, services, personnel, or experts is expected to exceed $10,000, applicants must consult with the National Litigation Support Administrator and the National Litigation Support Team in the </w:t>
      </w:r>
      <w:r w:rsidR="007557F5">
        <w:rPr>
          <w:rFonts w:ascii="Arial" w:hAnsi="Arial" w:cs="Arial"/>
          <w:sz w:val="22"/>
          <w:szCs w:val="22"/>
        </w:rPr>
        <w:t xml:space="preserve">AO’s </w:t>
      </w:r>
      <w:r>
        <w:rPr>
          <w:rFonts w:ascii="Arial" w:hAnsi="Arial" w:cs="Arial"/>
          <w:sz w:val="22"/>
          <w:szCs w:val="22"/>
        </w:rPr>
        <w:t xml:space="preserve">Defender Services </w:t>
      </w:r>
      <w:r w:rsidR="007557F5">
        <w:rPr>
          <w:rFonts w:ascii="Arial" w:hAnsi="Arial" w:cs="Arial"/>
          <w:sz w:val="22"/>
          <w:szCs w:val="22"/>
        </w:rPr>
        <w:t xml:space="preserve">Office </w:t>
      </w:r>
      <w:r>
        <w:rPr>
          <w:rFonts w:ascii="Arial" w:hAnsi="Arial" w:cs="Arial"/>
          <w:sz w:val="22"/>
          <w:szCs w:val="22"/>
        </w:rPr>
        <w:t>(510-</w:t>
      </w:r>
      <w:r w:rsidR="00CF529C">
        <w:rPr>
          <w:rFonts w:ascii="Arial" w:hAnsi="Arial" w:cs="Arial"/>
          <w:sz w:val="22"/>
          <w:szCs w:val="22"/>
        </w:rPr>
        <w:t>350</w:t>
      </w:r>
      <w:r>
        <w:rPr>
          <w:rFonts w:ascii="Arial" w:hAnsi="Arial" w:cs="Arial"/>
          <w:sz w:val="22"/>
          <w:szCs w:val="22"/>
        </w:rPr>
        <w:t>-</w:t>
      </w:r>
      <w:r w:rsidR="00CF529C">
        <w:rPr>
          <w:rFonts w:ascii="Arial" w:hAnsi="Arial" w:cs="Arial"/>
          <w:sz w:val="22"/>
          <w:szCs w:val="22"/>
        </w:rPr>
        <w:t>2738</w:t>
      </w:r>
      <w:r>
        <w:rPr>
          <w:rFonts w:ascii="Arial" w:hAnsi="Arial" w:cs="Arial"/>
          <w:sz w:val="22"/>
          <w:szCs w:val="22"/>
        </w:rPr>
        <w:t xml:space="preserve">) </w:t>
      </w:r>
      <w:r>
        <w:rPr>
          <w:rFonts w:ascii="Arial" w:hAnsi="Arial" w:cs="Arial"/>
          <w:b/>
          <w:bCs/>
          <w:sz w:val="22"/>
          <w:szCs w:val="22"/>
        </w:rPr>
        <w:t>before</w:t>
      </w:r>
      <w:r>
        <w:rPr>
          <w:rFonts w:ascii="Arial" w:hAnsi="Arial" w:cs="Arial"/>
          <w:sz w:val="22"/>
          <w:szCs w:val="22"/>
        </w:rPr>
        <w:t xml:space="preserve"> submitting an application for funds to the Court.  The Defender Services </w:t>
      </w:r>
      <w:r w:rsidR="003F6AA7">
        <w:rPr>
          <w:rFonts w:ascii="Arial" w:hAnsi="Arial" w:cs="Arial"/>
          <w:sz w:val="22"/>
          <w:szCs w:val="22"/>
        </w:rPr>
        <w:t xml:space="preserve">Office </w:t>
      </w:r>
      <w:r>
        <w:rPr>
          <w:rFonts w:ascii="Arial" w:hAnsi="Arial" w:cs="Arial"/>
          <w:sz w:val="22"/>
          <w:szCs w:val="22"/>
        </w:rPr>
        <w:t xml:space="preserve">will provide technical advice to counsel to ensure the items requested are necessary, appropriate, and compatible with systems currently being used by counsel.  Counsel is required to include, in writing, the advice and recommendation of the Defender Services </w:t>
      </w:r>
      <w:r w:rsidR="003F6AA7">
        <w:rPr>
          <w:rFonts w:ascii="Arial" w:hAnsi="Arial" w:cs="Arial"/>
          <w:sz w:val="22"/>
          <w:szCs w:val="22"/>
        </w:rPr>
        <w:t xml:space="preserve">Office </w:t>
      </w:r>
      <w:r>
        <w:rPr>
          <w:rFonts w:ascii="Arial" w:hAnsi="Arial" w:cs="Arial"/>
          <w:sz w:val="22"/>
          <w:szCs w:val="22"/>
        </w:rPr>
        <w:t xml:space="preserve">in the application to the Court.  </w:t>
      </w:r>
      <w:r>
        <w:rPr>
          <w:rFonts w:ascii="Arial" w:hAnsi="Arial" w:cs="Arial"/>
          <w:b/>
          <w:bCs/>
          <w:sz w:val="22"/>
          <w:szCs w:val="22"/>
        </w:rPr>
        <w:t xml:space="preserve">See: </w:t>
      </w:r>
      <w:r>
        <w:rPr>
          <w:rFonts w:ascii="Arial" w:hAnsi="Arial" w:cs="Arial"/>
          <w:color w:val="FF0000"/>
          <w:sz w:val="22"/>
          <w:szCs w:val="22"/>
        </w:rPr>
        <w:t xml:space="preserve"> </w:t>
      </w:r>
      <w:hyperlink r:id="rId3" w:anchor="a320_70" w:history="1">
        <w:r w:rsidR="006E3E85">
          <w:rPr>
            <w:rStyle w:val="Hyperlink"/>
            <w:rFonts w:ascii="Arial" w:hAnsi="Arial" w:cs="Arial"/>
            <w:i/>
            <w:sz w:val="22"/>
            <w:szCs w:val="22"/>
            <w:highlight w:val="white"/>
          </w:rPr>
          <w:t>Guide</w:t>
        </w:r>
        <w:r w:rsidRPr="00CA4B88">
          <w:rPr>
            <w:rStyle w:val="Hyperlink"/>
            <w:rFonts w:ascii="Arial" w:hAnsi="Arial" w:cs="Arial"/>
            <w:sz w:val="22"/>
            <w:szCs w:val="22"/>
            <w:highlight w:val="white"/>
          </w:rPr>
          <w:t>, Volume 7A, § 320.70</w:t>
        </w:r>
      </w:hyperlink>
      <w:r w:rsidRPr="000675F7">
        <w:rPr>
          <w:rFonts w:ascii="Arial" w:hAnsi="Arial" w:cs="Arial"/>
          <w:sz w:val="22"/>
          <w:szCs w:val="22"/>
          <w:highlight w:val="white"/>
        </w:rPr>
        <w:t xml:space="preserve">. </w:t>
      </w:r>
      <w:r w:rsidRPr="000675F7">
        <w:rPr>
          <w:rFonts w:ascii="Arial" w:hAnsi="Arial" w:cs="Arial"/>
          <w:sz w:val="22"/>
          <w:szCs w:val="22"/>
        </w:rPr>
        <w:t xml:space="preserve"> The</w:t>
      </w:r>
      <w:r>
        <w:rPr>
          <w:rFonts w:ascii="Arial" w:hAnsi="Arial" w:cs="Arial"/>
          <w:sz w:val="22"/>
          <w:szCs w:val="22"/>
        </w:rPr>
        <w:t xml:space="preserve"> presiding judicial officer or the clerk also may wish to seek advice from the Defender Services</w:t>
      </w:r>
      <w:r w:rsidR="003F6AA7">
        <w:rPr>
          <w:rFonts w:ascii="Arial" w:hAnsi="Arial" w:cs="Arial"/>
          <w:sz w:val="22"/>
          <w:szCs w:val="22"/>
        </w:rPr>
        <w:t xml:space="preserve"> Office</w:t>
      </w:r>
      <w:r>
        <w:rPr>
          <w:rFonts w:ascii="Arial" w:hAnsi="Arial" w:cs="Arial"/>
          <w:sz w:val="22"/>
          <w:szCs w:val="22"/>
        </w:rPr>
        <w:t>.</w:t>
      </w:r>
    </w:p>
  </w:footnote>
  <w:footnote w:id="5">
    <w:p w14:paraId="2575F912" w14:textId="77777777" w:rsidR="00EE606B" w:rsidRDefault="00EE606B" w:rsidP="00442E99">
      <w:pPr>
        <w:widowControl/>
        <w:spacing w:after="240"/>
        <w:ind w:firstLine="720"/>
      </w:pPr>
      <w:r w:rsidRPr="008941B2">
        <w:rPr>
          <w:rFonts w:ascii="Arial" w:hAnsi="Arial" w:cs="Arial"/>
          <w:sz w:val="24"/>
          <w:szCs w:val="24"/>
          <w:vertAlign w:val="superscript"/>
        </w:rPr>
        <w:t>5</w:t>
      </w:r>
      <w:r>
        <w:rPr>
          <w:sz w:val="24"/>
          <w:szCs w:val="24"/>
          <w:vertAlign w:val="superscript"/>
        </w:rPr>
        <w:t xml:space="preserve"> </w:t>
      </w:r>
      <w:r w:rsidRPr="000675F7">
        <w:rPr>
          <w:rFonts w:ascii="Arial" w:hAnsi="Arial" w:cs="Arial"/>
          <w:sz w:val="22"/>
          <w:szCs w:val="22"/>
          <w:highlight w:val="white"/>
        </w:rPr>
        <w:t xml:space="preserve">Under </w:t>
      </w:r>
      <w:hyperlink r:id="rId4" w:anchor="a320_70" w:history="1">
        <w:r w:rsidR="006E3E85">
          <w:rPr>
            <w:rStyle w:val="Hyperlink"/>
            <w:rFonts w:ascii="Arial" w:hAnsi="Arial" w:cs="Arial"/>
            <w:i/>
            <w:sz w:val="22"/>
            <w:szCs w:val="22"/>
            <w:highlight w:val="white"/>
          </w:rPr>
          <w:t>Guide</w:t>
        </w:r>
        <w:r w:rsidRPr="00CA4B88">
          <w:rPr>
            <w:rStyle w:val="Hyperlink"/>
            <w:rFonts w:ascii="Arial" w:hAnsi="Arial" w:cs="Arial"/>
            <w:sz w:val="22"/>
            <w:szCs w:val="22"/>
            <w:highlight w:val="white"/>
          </w:rPr>
          <w:t>, Volume 7</w:t>
        </w:r>
        <w:r w:rsidR="006E3E85">
          <w:rPr>
            <w:rStyle w:val="Hyperlink"/>
            <w:rFonts w:ascii="Arial" w:hAnsi="Arial" w:cs="Arial"/>
            <w:sz w:val="22"/>
            <w:szCs w:val="22"/>
            <w:highlight w:val="white"/>
          </w:rPr>
          <w:t>A, § 320.70</w:t>
        </w:r>
      </w:hyperlink>
      <w:r w:rsidRPr="000675F7">
        <w:rPr>
          <w:rFonts w:ascii="Arial" w:hAnsi="Arial" w:cs="Arial"/>
          <w:sz w:val="22"/>
          <w:szCs w:val="22"/>
        </w:rPr>
        <w:t>,</w:t>
      </w:r>
      <w:r>
        <w:rPr>
          <w:rFonts w:ascii="Arial" w:hAnsi="Arial" w:cs="Arial"/>
          <w:color w:val="FF0000"/>
          <w:sz w:val="22"/>
          <w:szCs w:val="22"/>
        </w:rPr>
        <w:t xml:space="preserve"> </w:t>
      </w:r>
      <w:r>
        <w:rPr>
          <w:rFonts w:ascii="Arial" w:hAnsi="Arial" w:cs="Arial"/>
          <w:sz w:val="22"/>
          <w:szCs w:val="22"/>
        </w:rPr>
        <w:t xml:space="preserve">approval for “unusual or extraordinary expenses” </w:t>
      </w:r>
      <w:r>
        <w:rPr>
          <w:rFonts w:ascii="Arial" w:hAnsi="Arial" w:cs="Arial"/>
          <w:sz w:val="22"/>
          <w:szCs w:val="22"/>
          <w:highlight w:val="white"/>
        </w:rPr>
        <w:t xml:space="preserve">is authorized </w:t>
      </w:r>
      <w:r>
        <w:rPr>
          <w:rFonts w:ascii="Arial" w:hAnsi="Arial" w:cs="Arial"/>
          <w:sz w:val="22"/>
          <w:szCs w:val="22"/>
        </w:rPr>
        <w:t xml:space="preserve">when “the circumstances from which the need arose would normally result in an additional charge to a fee-paying client over and above that charged for overhead expenses.”  The Court has discretion to determine when that condition is met.  Circumstances of extraordinary expense may include but are not limited </w:t>
      </w:r>
      <w:proofErr w:type="gramStart"/>
      <w:r>
        <w:rPr>
          <w:rFonts w:ascii="Arial" w:hAnsi="Arial" w:cs="Arial"/>
          <w:sz w:val="22"/>
          <w:szCs w:val="22"/>
        </w:rPr>
        <w:t>to:</w:t>
      </w:r>
      <w:proofErr w:type="gramEnd"/>
      <w:r>
        <w:rPr>
          <w:rFonts w:ascii="Arial" w:hAnsi="Arial" w:cs="Arial"/>
          <w:sz w:val="22"/>
          <w:szCs w:val="22"/>
        </w:rPr>
        <w:t xml:space="preserve">  massive documentary discovery; voluminous electronically stored information (ESI); numerous hours of wiretap tapes; complex financial transactions; and national security concerns requiring disclosure, but no copying, of discovery.  In all cases, the decision to approve expenses for hardware or software is a matter for the presiding judge (and if above the case compensation maximum, for the chief judge of the court of appeals, or designee of the chief judge).</w:t>
      </w:r>
    </w:p>
  </w:footnote>
  <w:footnote w:id="6">
    <w:p w14:paraId="39E0FCCF" w14:textId="77777777" w:rsidR="00EE606B" w:rsidRDefault="00EE606B" w:rsidP="00442E99">
      <w:pPr>
        <w:widowControl/>
        <w:spacing w:after="240"/>
        <w:ind w:firstLine="720"/>
      </w:pPr>
      <w:r w:rsidRPr="008941B2">
        <w:rPr>
          <w:rFonts w:ascii="Arial" w:hAnsi="Arial" w:cs="Arial"/>
          <w:sz w:val="24"/>
          <w:szCs w:val="24"/>
          <w:vertAlign w:val="superscript"/>
        </w:rPr>
        <w:t>6</w:t>
      </w:r>
      <w:r>
        <w:rPr>
          <w:sz w:val="24"/>
          <w:szCs w:val="24"/>
          <w:vertAlign w:val="superscript"/>
        </w:rPr>
        <w:t xml:space="preserve"> </w:t>
      </w:r>
      <w:r>
        <w:rPr>
          <w:rFonts w:ascii="Arial" w:hAnsi="Arial" w:cs="Arial"/>
          <w:sz w:val="22"/>
          <w:szCs w:val="22"/>
        </w:rPr>
        <w:t>The Court may wish to authorize acquisition of each specific item and a total cost ceiling but allow the designated purchaser some leeway to negotiate prices for individual items.</w:t>
      </w:r>
    </w:p>
  </w:footnote>
  <w:footnote w:id="7">
    <w:p w14:paraId="074F5FCE" w14:textId="77777777" w:rsidR="00D34740" w:rsidRDefault="00D34740" w:rsidP="00D34740">
      <w:pPr>
        <w:pStyle w:val="FootnoteText"/>
        <w:ind w:firstLine="720"/>
      </w:pPr>
      <w:r w:rsidRPr="008941B2">
        <w:rPr>
          <w:rStyle w:val="FootnoteReference"/>
          <w:rFonts w:ascii="Arial" w:hAnsi="Arial" w:cs="Arial"/>
        </w:rPr>
        <w:footnoteRef/>
      </w:r>
      <w:r w:rsidRPr="008941B2">
        <w:rPr>
          <w:rFonts w:ascii="Arial" w:hAnsi="Arial" w:cs="Arial"/>
        </w:rPr>
        <w:t xml:space="preserve"> </w:t>
      </w:r>
      <w:r>
        <w:rPr>
          <w:rFonts w:ascii="Arial" w:hAnsi="Arial" w:cs="Arial"/>
          <w:sz w:val="22"/>
          <w:szCs w:val="22"/>
        </w:rPr>
        <w:t>While it is preferable that counsel retain copies of the deleted information in the client files, there may be some cases where it is impossible or prohibited by law.  For example, the retention of discovery that implicates a national security concern may be barred by federal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CEF1" w14:textId="77777777" w:rsidR="00EE606B" w:rsidRDefault="00EE606B" w:rsidP="00760423">
    <w:pPr>
      <w:pStyle w:val="Header"/>
      <w:rPr>
        <w:rFonts w:ascii="Arial" w:hAnsi="Arial" w:cs="Arial"/>
      </w:rPr>
    </w:pPr>
    <w:r>
      <w:rPr>
        <w:rFonts w:ascii="Arial" w:hAnsi="Arial" w:cs="Arial"/>
        <w:i/>
      </w:rPr>
      <w:t>Guide to Judiciary Policy</w:t>
    </w:r>
    <w:r>
      <w:rPr>
        <w:rFonts w:ascii="Arial" w:hAnsi="Arial" w:cs="Arial"/>
      </w:rPr>
      <w:t>, Vol. 7A, Appx. 3D</w:t>
    </w:r>
    <w:r>
      <w:rPr>
        <w:rFonts w:ascii="Arial" w:hAnsi="Arial" w:cs="Arial"/>
      </w:rPr>
      <w:tab/>
    </w:r>
    <w:r>
      <w:rPr>
        <w:rFonts w:ascii="Arial" w:hAnsi="Arial" w:cs="Arial"/>
      </w:rPr>
      <w:tab/>
      <w:t xml:space="preserve">Page </w:t>
    </w:r>
    <w:r w:rsidRPr="00760423">
      <w:rPr>
        <w:rFonts w:ascii="Arial" w:hAnsi="Arial" w:cs="Arial"/>
      </w:rPr>
      <w:fldChar w:fldCharType="begin"/>
    </w:r>
    <w:r w:rsidRPr="00760423">
      <w:rPr>
        <w:rFonts w:ascii="Arial" w:hAnsi="Arial" w:cs="Arial"/>
      </w:rPr>
      <w:instrText xml:space="preserve"> PAGE   \* MERGEFORMAT </w:instrText>
    </w:r>
    <w:r w:rsidRPr="00760423">
      <w:rPr>
        <w:rFonts w:ascii="Arial" w:hAnsi="Arial" w:cs="Arial"/>
      </w:rPr>
      <w:fldChar w:fldCharType="separate"/>
    </w:r>
    <w:r w:rsidR="00C9453F">
      <w:rPr>
        <w:rFonts w:ascii="Arial" w:hAnsi="Arial" w:cs="Arial"/>
        <w:noProof/>
      </w:rPr>
      <w:t>2</w:t>
    </w:r>
    <w:r w:rsidRPr="00760423">
      <w:rPr>
        <w:rFonts w:ascii="Arial" w:hAnsi="Arial" w:cs="Arial"/>
      </w:rPr>
      <w:fldChar w:fldCharType="end"/>
    </w:r>
  </w:p>
  <w:p w14:paraId="2842FE9F" w14:textId="77777777" w:rsidR="00EE606B" w:rsidRDefault="00EE606B" w:rsidP="00760423">
    <w:pPr>
      <w:pStyle w:val="Header"/>
      <w:rPr>
        <w:rFonts w:ascii="Arial" w:hAnsi="Arial" w:cs="Arial"/>
      </w:rPr>
    </w:pPr>
  </w:p>
  <w:p w14:paraId="2D2ED209" w14:textId="77777777" w:rsidR="00EE606B" w:rsidRPr="00760423" w:rsidRDefault="00EE606B" w:rsidP="00760423">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numFmt w:val="decimal"/>
    <w:numStart w:val="7"/>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37"/>
    <w:rsid w:val="00000D48"/>
    <w:rsid w:val="000563C5"/>
    <w:rsid w:val="0006283C"/>
    <w:rsid w:val="000675F7"/>
    <w:rsid w:val="000E7185"/>
    <w:rsid w:val="000F2076"/>
    <w:rsid w:val="001E480F"/>
    <w:rsid w:val="003D1E6C"/>
    <w:rsid w:val="003E0125"/>
    <w:rsid w:val="003F0FD9"/>
    <w:rsid w:val="003F6AA7"/>
    <w:rsid w:val="00431137"/>
    <w:rsid w:val="0044291B"/>
    <w:rsid w:val="00442E99"/>
    <w:rsid w:val="00460032"/>
    <w:rsid w:val="004C1EF2"/>
    <w:rsid w:val="005748E3"/>
    <w:rsid w:val="00594E7D"/>
    <w:rsid w:val="00620773"/>
    <w:rsid w:val="006E3E85"/>
    <w:rsid w:val="007557F5"/>
    <w:rsid w:val="00760423"/>
    <w:rsid w:val="00810767"/>
    <w:rsid w:val="008941B2"/>
    <w:rsid w:val="00894259"/>
    <w:rsid w:val="008C484B"/>
    <w:rsid w:val="009336B9"/>
    <w:rsid w:val="009C3616"/>
    <w:rsid w:val="009D6244"/>
    <w:rsid w:val="00A72BF7"/>
    <w:rsid w:val="00AE11FC"/>
    <w:rsid w:val="00AE329D"/>
    <w:rsid w:val="00B115CF"/>
    <w:rsid w:val="00B73F91"/>
    <w:rsid w:val="00BD7279"/>
    <w:rsid w:val="00C45A5B"/>
    <w:rsid w:val="00C9453F"/>
    <w:rsid w:val="00CA4B88"/>
    <w:rsid w:val="00CE37ED"/>
    <w:rsid w:val="00CF529C"/>
    <w:rsid w:val="00D34740"/>
    <w:rsid w:val="00D43691"/>
    <w:rsid w:val="00DC77D1"/>
    <w:rsid w:val="00DF58CF"/>
    <w:rsid w:val="00E74FD3"/>
    <w:rsid w:val="00E84125"/>
    <w:rsid w:val="00EE606B"/>
    <w:rsid w:val="00F04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E12461"/>
  <w15:chartTrackingRefBased/>
  <w15:docId w15:val="{00F70E1B-7A9C-4026-A9E3-436257BD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760423"/>
    <w:pPr>
      <w:tabs>
        <w:tab w:val="center" w:pos="4680"/>
        <w:tab w:val="right" w:pos="9360"/>
      </w:tabs>
    </w:pPr>
  </w:style>
  <w:style w:type="character" w:customStyle="1" w:styleId="HeaderChar">
    <w:name w:val="Header Char"/>
    <w:link w:val="Header"/>
    <w:uiPriority w:val="99"/>
    <w:rsid w:val="00760423"/>
    <w:rPr>
      <w:rFonts w:ascii="Times New Roman" w:hAnsi="Times New Roman"/>
    </w:rPr>
  </w:style>
  <w:style w:type="paragraph" w:styleId="Footer">
    <w:name w:val="footer"/>
    <w:basedOn w:val="Normal"/>
    <w:link w:val="FooterChar"/>
    <w:uiPriority w:val="99"/>
    <w:unhideWhenUsed/>
    <w:rsid w:val="00760423"/>
    <w:pPr>
      <w:tabs>
        <w:tab w:val="center" w:pos="4680"/>
        <w:tab w:val="right" w:pos="9360"/>
      </w:tabs>
    </w:pPr>
  </w:style>
  <w:style w:type="character" w:customStyle="1" w:styleId="FooterChar">
    <w:name w:val="Footer Char"/>
    <w:link w:val="Footer"/>
    <w:uiPriority w:val="99"/>
    <w:rsid w:val="00760423"/>
    <w:rPr>
      <w:rFonts w:ascii="Times New Roman" w:hAnsi="Times New Roman"/>
    </w:rPr>
  </w:style>
  <w:style w:type="paragraph" w:styleId="BalloonText">
    <w:name w:val="Balloon Text"/>
    <w:basedOn w:val="Normal"/>
    <w:link w:val="BalloonTextChar"/>
    <w:uiPriority w:val="99"/>
    <w:semiHidden/>
    <w:unhideWhenUsed/>
    <w:rsid w:val="00760423"/>
    <w:rPr>
      <w:rFonts w:ascii="Tahoma" w:hAnsi="Tahoma" w:cs="Tahoma"/>
      <w:sz w:val="16"/>
      <w:szCs w:val="16"/>
    </w:rPr>
  </w:style>
  <w:style w:type="character" w:customStyle="1" w:styleId="BalloonTextChar">
    <w:name w:val="Balloon Text Char"/>
    <w:link w:val="BalloonText"/>
    <w:uiPriority w:val="99"/>
    <w:semiHidden/>
    <w:rsid w:val="00760423"/>
    <w:rPr>
      <w:rFonts w:ascii="Tahoma" w:hAnsi="Tahoma" w:cs="Tahoma"/>
      <w:sz w:val="16"/>
      <w:szCs w:val="16"/>
    </w:rPr>
  </w:style>
  <w:style w:type="character" w:styleId="Hyperlink">
    <w:name w:val="Hyperlink"/>
    <w:uiPriority w:val="99"/>
    <w:unhideWhenUsed/>
    <w:rsid w:val="005748E3"/>
    <w:rPr>
      <w:color w:val="0000FF"/>
      <w:u w:val="single"/>
    </w:rPr>
  </w:style>
  <w:style w:type="character" w:styleId="FollowedHyperlink">
    <w:name w:val="FollowedHyperlink"/>
    <w:uiPriority w:val="99"/>
    <w:semiHidden/>
    <w:unhideWhenUsed/>
    <w:rsid w:val="005748E3"/>
    <w:rPr>
      <w:color w:val="800080"/>
      <w:u w:val="single"/>
    </w:rPr>
  </w:style>
  <w:style w:type="paragraph" w:styleId="EndnoteText">
    <w:name w:val="endnote text"/>
    <w:basedOn w:val="Normal"/>
    <w:link w:val="EndnoteTextChar"/>
    <w:uiPriority w:val="99"/>
    <w:semiHidden/>
    <w:unhideWhenUsed/>
    <w:rsid w:val="003F0FD9"/>
  </w:style>
  <w:style w:type="character" w:customStyle="1" w:styleId="EndnoteTextChar">
    <w:name w:val="Endnote Text Char"/>
    <w:link w:val="EndnoteText"/>
    <w:uiPriority w:val="99"/>
    <w:semiHidden/>
    <w:rsid w:val="003F0FD9"/>
    <w:rPr>
      <w:rFonts w:ascii="Times New Roman" w:hAnsi="Times New Roman"/>
    </w:rPr>
  </w:style>
  <w:style w:type="character" w:styleId="EndnoteReference">
    <w:name w:val="endnote reference"/>
    <w:uiPriority w:val="99"/>
    <w:semiHidden/>
    <w:unhideWhenUsed/>
    <w:rsid w:val="003F0FD9"/>
    <w:rPr>
      <w:vertAlign w:val="superscript"/>
    </w:rPr>
  </w:style>
  <w:style w:type="paragraph" w:styleId="FootnoteText">
    <w:name w:val="footnote text"/>
    <w:basedOn w:val="Normal"/>
    <w:link w:val="FootnoteTextChar"/>
    <w:uiPriority w:val="99"/>
    <w:semiHidden/>
    <w:unhideWhenUsed/>
    <w:rsid w:val="003F0FD9"/>
  </w:style>
  <w:style w:type="character" w:customStyle="1" w:styleId="FootnoteTextChar">
    <w:name w:val="Footnote Text Char"/>
    <w:link w:val="FootnoteText"/>
    <w:uiPriority w:val="99"/>
    <w:semiHidden/>
    <w:rsid w:val="003F0FD9"/>
    <w:rPr>
      <w:rFonts w:ascii="Times New Roman" w:hAnsi="Times New Roman"/>
    </w:rPr>
  </w:style>
  <w:style w:type="character" w:styleId="FootnoteReference">
    <w:name w:val="footnote reference"/>
    <w:uiPriority w:val="99"/>
    <w:semiHidden/>
    <w:unhideWhenUsed/>
    <w:rsid w:val="003F0FD9"/>
    <w:rPr>
      <w:vertAlign w:val="superscript"/>
    </w:rPr>
  </w:style>
  <w:style w:type="paragraph" w:customStyle="1" w:styleId="pdeck">
    <w:name w:val="p.deck"/>
    <w:qFormat/>
    <w:rsid w:val="00D43691"/>
    <w:pPr>
      <w:spacing w:after="240"/>
      <w:contextualSpacing/>
    </w:pPr>
    <w:rPr>
      <w:rFonts w:ascii="Arial" w:eastAsia="Calibri"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30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scourts.gov/forms/vouchers/authorization-and-voucher-expert-and-other-servic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uscourts.gov/rules-policies/judiciary-policies/cja-guidelines/chapter-3-ss-320-authorization-investigative-exper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aw.cornell.edu/uscode/text/18/3006A"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law.cornell.edu/uscode/text/18/3006A"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uscourts.gov/forms/vouchers/death-penalty-proceedings-ex-parte-request-authorization-and-voucher-expert-and-othe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uscourts.gov/rules-policies/judiciary-policies/criminal-justice-act-cja-guidelin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scourts.gov/rules-policies/judiciary-policies/cja-guidelines/chapter-3-ss-320-authorization-investigative-expert" TargetMode="External"/><Relationship Id="rId2" Type="http://schemas.openxmlformats.org/officeDocument/2006/relationships/hyperlink" Target="http://www.uscourts.gov/rules-policies/judiciary-policies/cja-guidelines/chapter-3-ss-310-general" TargetMode="External"/><Relationship Id="rId1" Type="http://schemas.openxmlformats.org/officeDocument/2006/relationships/hyperlink" Target="http://www.uscourts.gov/rules-policies/judiciary-policies/cja-guidelines/chapter-3-ss-310-general" TargetMode="External"/><Relationship Id="rId4" Type="http://schemas.openxmlformats.org/officeDocument/2006/relationships/hyperlink" Target="http://www.uscourts.gov/rules-policies/judiciary-policies/cja-guidelines/chapter-3-ss-320-authorization-investigative-ex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BBD99-0263-43EE-975C-A59C20E6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584</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CJA Guidelines: Sample Order Computer (Guide, Vol. 7A, Appx. 3D)</vt:lpstr>
    </vt:vector>
  </TitlesOfParts>
  <Company>Administrative Office of the U.S. Courts</Company>
  <LinksUpToDate>false</LinksUpToDate>
  <CharactersWithSpaces>4679</CharactersWithSpaces>
  <SharedDoc>false</SharedDoc>
  <HLinks>
    <vt:vector size="60" baseType="variant">
      <vt:variant>
        <vt:i4>196679</vt:i4>
      </vt:variant>
      <vt:variant>
        <vt:i4>16</vt:i4>
      </vt:variant>
      <vt:variant>
        <vt:i4>0</vt:i4>
      </vt:variant>
      <vt:variant>
        <vt:i4>5</vt:i4>
      </vt:variant>
      <vt:variant>
        <vt:lpwstr>http://www.uscourts.gov/forms/vouchers/death-penalty-proceedings-ex-parte-request-authorization-and-voucher-expert-and-other</vt:lpwstr>
      </vt:variant>
      <vt:variant>
        <vt:lpwstr/>
      </vt:variant>
      <vt:variant>
        <vt:i4>3801149</vt:i4>
      </vt:variant>
      <vt:variant>
        <vt:i4>13</vt:i4>
      </vt:variant>
      <vt:variant>
        <vt:i4>0</vt:i4>
      </vt:variant>
      <vt:variant>
        <vt:i4>5</vt:i4>
      </vt:variant>
      <vt:variant>
        <vt:lpwstr>http://www.uscourts.gov/forms/vouchers/authorization-and-voucher-expert-and-other-services</vt:lpwstr>
      </vt:variant>
      <vt:variant>
        <vt:lpwstr/>
      </vt:variant>
      <vt:variant>
        <vt:i4>2818051</vt:i4>
      </vt:variant>
      <vt:variant>
        <vt:i4>10</vt:i4>
      </vt:variant>
      <vt:variant>
        <vt:i4>0</vt:i4>
      </vt:variant>
      <vt:variant>
        <vt:i4>5</vt:i4>
      </vt:variant>
      <vt:variant>
        <vt:lpwstr>http://www.uscourts.gov/rules-policies/judiciary-policies/cja-guidelines/chapter-3-ss-320-authorization-investigative-expert</vt:lpwstr>
      </vt:variant>
      <vt:variant>
        <vt:lpwstr>a320_70</vt:lpwstr>
      </vt:variant>
      <vt:variant>
        <vt:i4>983138</vt:i4>
      </vt:variant>
      <vt:variant>
        <vt:i4>5</vt:i4>
      </vt:variant>
      <vt:variant>
        <vt:i4>0</vt:i4>
      </vt:variant>
      <vt:variant>
        <vt:i4>5</vt:i4>
      </vt:variant>
      <vt:variant>
        <vt:lpwstr>https://www.law.cornell.edu/uscode/text/18/3006A</vt:lpwstr>
      </vt:variant>
      <vt:variant>
        <vt:lpwstr>e</vt:lpwstr>
      </vt:variant>
      <vt:variant>
        <vt:i4>983047</vt:i4>
      </vt:variant>
      <vt:variant>
        <vt:i4>2</vt:i4>
      </vt:variant>
      <vt:variant>
        <vt:i4>0</vt:i4>
      </vt:variant>
      <vt:variant>
        <vt:i4>5</vt:i4>
      </vt:variant>
      <vt:variant>
        <vt:lpwstr>https://www.law.cornell.edu/uscode/text/18/3006A</vt:lpwstr>
      </vt:variant>
      <vt:variant>
        <vt:lpwstr/>
      </vt:variant>
      <vt:variant>
        <vt:i4>2818051</vt:i4>
      </vt:variant>
      <vt:variant>
        <vt:i4>9</vt:i4>
      </vt:variant>
      <vt:variant>
        <vt:i4>0</vt:i4>
      </vt:variant>
      <vt:variant>
        <vt:i4>5</vt:i4>
      </vt:variant>
      <vt:variant>
        <vt:lpwstr>http://www.uscourts.gov/rules-policies/judiciary-policies/cja-guidelines/chapter-3-ss-320-authorization-investigative-expert</vt:lpwstr>
      </vt:variant>
      <vt:variant>
        <vt:lpwstr>a320_70</vt:lpwstr>
      </vt:variant>
      <vt:variant>
        <vt:i4>2818051</vt:i4>
      </vt:variant>
      <vt:variant>
        <vt:i4>6</vt:i4>
      </vt:variant>
      <vt:variant>
        <vt:i4>0</vt:i4>
      </vt:variant>
      <vt:variant>
        <vt:i4>5</vt:i4>
      </vt:variant>
      <vt:variant>
        <vt:lpwstr>http://www.uscourts.gov/rules-policies/judiciary-policies/cja-guidelines/chapter-3-ss-320-authorization-investigative-expert</vt:lpwstr>
      </vt:variant>
      <vt:variant>
        <vt:lpwstr>a320_70</vt:lpwstr>
      </vt:variant>
      <vt:variant>
        <vt:i4>6160386</vt:i4>
      </vt:variant>
      <vt:variant>
        <vt:i4>3</vt:i4>
      </vt:variant>
      <vt:variant>
        <vt:i4>0</vt:i4>
      </vt:variant>
      <vt:variant>
        <vt:i4>5</vt:i4>
      </vt:variant>
      <vt:variant>
        <vt:lpwstr>http://www.uscourts.gov/rules-policies/judiciary-policies/cja-guidelines/chapter-3-ss-310-general</vt:lpwstr>
      </vt:variant>
      <vt:variant>
        <vt:lpwstr>a310_20_30</vt:lpwstr>
      </vt:variant>
      <vt:variant>
        <vt:i4>3145729</vt:i4>
      </vt:variant>
      <vt:variant>
        <vt:i4>0</vt:i4>
      </vt:variant>
      <vt:variant>
        <vt:i4>0</vt:i4>
      </vt:variant>
      <vt:variant>
        <vt:i4>5</vt:i4>
      </vt:variant>
      <vt:variant>
        <vt:lpwstr>http://www.uscourts.gov/rules-policies/judiciary-policies/cja-guidelines/chapter-3-ss-310-general</vt:lpwstr>
      </vt:variant>
      <vt:variant>
        <vt:lpwstr>a310_30</vt:lpwstr>
      </vt:variant>
      <vt:variant>
        <vt:i4>3407927</vt:i4>
      </vt:variant>
      <vt:variant>
        <vt:i4>6</vt:i4>
      </vt:variant>
      <vt:variant>
        <vt:i4>0</vt:i4>
      </vt:variant>
      <vt:variant>
        <vt:i4>5</vt:i4>
      </vt:variant>
      <vt:variant>
        <vt:lpwstr>https://www.uscourts.gov/rules-policies/judiciary-policies/criminal-justice-act-cja-guidelines</vt:lpwstr>
      </vt:variant>
      <vt:variant>
        <vt:lpwstr>transmittals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CJA Guidelines: Sample Order Computer (Guide, Vol. 7A, Appx. 3D)</dc:title>
  <dc:subject/>
  <dc:creator>Timothy Dole</dc:creator>
  <cp:keywords/>
  <dc:description/>
  <cp:lastModifiedBy>Timothy Dole</cp:lastModifiedBy>
  <cp:revision>3</cp:revision>
  <dcterms:created xsi:type="dcterms:W3CDTF">2024-12-16T18:50:00Z</dcterms:created>
  <dcterms:modified xsi:type="dcterms:W3CDTF">2024-12-16T18:53:00Z</dcterms:modified>
</cp:coreProperties>
</file>